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10376"/>
        <w:jc w:val="center"/>
        <w:tblLook w:firstColumn="1" w:firstRow="1" w:lastColumn="0" w:lastRow="0" w:noHBand="0" w:noVBand="1" w:val="04A0"/>
        <w:tblLayout w:type="fixed"/>
      </w:tblPr>
      <w:tblGrid>
        <w:gridCol w:w="5188"/>
        <w:gridCol w:w="5188"/>
      </w:tblGrid>
      <w:tr>
        <w:tc>
          <w:tcPr>
            <w:tcW w:type="dxa" w:w="7597"/>
            <w:vMerge w:val="restart"/>
            <w:shd w:fill="173B66"/>
            <w:tcBorders>
              <w:top w:val="single" w:sz="8" w:space="0" w:color="173B66"/>
              <w:left w:val="single" w:sz="8" w:space="0" w:color="173B66"/>
              <w:bottom w:val="single" w:sz="8" w:space="0" w:color="173B66"/>
              <w:right w:val="single" w:sz="8" w:space="0" w:color="173B66"/>
            </w:tcBorders>
            <w:tcMar>
              <w:top w:w="105" w:type="dxa"/>
              <w:start w:w="125" w:type="dxa"/>
              <w:bottom w:w="100" w:type="dxa"/>
              <w:end w:w="100" w:type="dxa"/>
            </w:tcMar>
          </w:tcPr>
          <w:p>
            <w:pPr>
              <w:spacing w:after="0" w:line="252" w:lineRule="auto"/>
            </w:pPr>
            <w:r>
              <w:rPr>
                <w:rFonts w:ascii="Arial" w:hAnsi="Arial" w:eastAsia="Arial"/>
                <w:b/>
                <w:color w:val="FFFFFF"/>
                <w:sz w:val="30"/>
              </w:rPr>
              <w:t>KLAUZULA INFORMACYJNA RODO</w:t>
              <w:br/>
              <w:t>DLA KLIENTÓW I OSÓB KONTAKTOWYCH</w:t>
            </w:r>
          </w:p>
        </w:tc>
        <w:tc>
          <w:tcPr>
            <w:tcW w:type="dxa" w:w="2778"/>
            <w:shd w:fill="DCE7F3"/>
            <w:tcBorders>
              <w:top w:val="single" w:sz="5" w:space="0" w:color="8EA6BF"/>
              <w:left w:val="single" w:sz="5" w:space="0" w:color="8EA6BF"/>
              <w:bottom w:val="single" w:sz="5" w:space="0" w:color="8EA6BF"/>
              <w:right w:val="single" w:sz="5" w:space="0" w:color="8EA6BF"/>
            </w:tcBorders>
            <w:tcMar>
              <w:top w:w="80" w:type="dxa"/>
              <w:start w:w="90" w:type="dxa"/>
              <w:bottom w:w="75" w:type="dxa"/>
              <w:end w:w="80" w:type="dxa"/>
            </w:tcMar>
          </w:tcPr>
          <w:p>
            <w:pPr>
              <w:spacing w:after="0"/>
            </w:pPr>
            <w:r>
              <w:rPr>
                <w:rFonts w:ascii="Arial" w:hAnsi="Arial" w:eastAsia="Arial"/>
                <w:b/>
                <w:color w:val="626B73"/>
                <w:sz w:val="14"/>
              </w:rPr>
              <w:t>WERSJA DOKUMENTU</w:t>
              <w:br/>
            </w:r>
            <w:r>
              <w:rPr>
                <w:rFonts w:ascii="Arial" w:hAnsi="Arial" w:eastAsia="Arial"/>
                <w:b/>
                <w:color w:val="253444"/>
                <w:sz w:val="18"/>
              </w:rPr>
              <w:t>1.0</w:t>
            </w:r>
          </w:p>
        </w:tc>
      </w:tr>
      <w:tr>
        <w:tc>
          <w:tcPr>
            <w:tcW w:type="dxa" w:w="7597"/>
            <w:vMerge/>
          </w:tcPr>
          <w:p/>
        </w:tc>
        <w:tc>
          <w:tcPr>
            <w:tcW w:type="dxa" w:w="2778"/>
            <w:shd w:fill="FFFFFF"/>
            <w:tcBorders>
              <w:top w:val="single" w:sz="5" w:space="0" w:color="8EA6BF"/>
              <w:left w:val="single" w:sz="5" w:space="0" w:color="8EA6BF"/>
              <w:bottom w:val="single" w:sz="5" w:space="0" w:color="8EA6BF"/>
              <w:right w:val="single" w:sz="5" w:space="0" w:color="8EA6BF"/>
            </w:tcBorders>
            <w:tcMar>
              <w:top w:w="80" w:type="dxa"/>
              <w:start w:w="90" w:type="dxa"/>
              <w:bottom w:w="75" w:type="dxa"/>
              <w:end w:w="80" w:type="dxa"/>
            </w:tcMar>
          </w:tcPr>
          <w:p>
            <w:pPr>
              <w:spacing w:after="0"/>
            </w:pPr>
            <w:r>
              <w:rPr>
                <w:rFonts w:ascii="Arial" w:hAnsi="Arial" w:eastAsia="Arial"/>
                <w:b/>
                <w:color w:val="626B73"/>
                <w:sz w:val="14"/>
              </w:rPr>
              <w:t>OBOWIĄZUJE OD</w:t>
              <w:br/>
            </w:r>
            <w:r>
              <w:rPr>
                <w:rFonts w:ascii="Arial" w:hAnsi="Arial" w:eastAsia="Arial"/>
                <w:b/>
                <w:color w:val="253444"/>
                <w:sz w:val="18"/>
              </w:rPr>
              <w:t>29.07.2026</w:t>
            </w:r>
          </w:p>
        </w:tc>
      </w:tr>
    </w:tbl>
    <w:tbl>
      <w:tblPr>
        <w:tblW w:type="dxa" w:w="10376"/>
        <w:jc w:val="center"/>
        <w:tblLook w:firstColumn="1" w:firstRow="1" w:lastColumn="0" w:lastRow="0" w:noHBand="0" w:noVBand="1" w:val="04A0"/>
        <w:tblLayout w:type="fixed"/>
      </w:tblPr>
      <w:tblGrid>
        <w:gridCol w:w="10376"/>
      </w:tblGrid>
      <w:tr>
        <w:tc>
          <w:tcPr>
            <w:tcW w:type="dxa" w:w="10376"/>
            <w:shd w:fill="FFF4D6"/>
            <w:tcBorders>
              <w:top w:val="single" w:sz="5" w:space="0" w:color="8EA6BF"/>
              <w:left w:val="single" w:sz="5" w:space="0" w:color="8EA6BF"/>
              <w:bottom w:val="single" w:sz="5" w:space="0" w:color="8EA6BF"/>
              <w:right w:val="single" w:sz="5" w:space="0" w:color="8EA6BF"/>
            </w:tcBorders>
            <w:tcMar>
              <w:top w:w="75" w:type="dxa"/>
              <w:start w:w="95" w:type="dxa"/>
              <w:bottom w:w="75" w:type="dxa"/>
              <w:end w:w="95" w:type="dxa"/>
            </w:tcMar>
          </w:tcPr>
          <w:p>
            <w:pPr>
              <w:spacing w:after="0" w:line="247" w:lineRule="auto"/>
            </w:pPr>
            <w:r>
              <w:rPr>
                <w:rFonts w:ascii="Arial" w:hAnsi="Arial" w:eastAsia="Arial"/>
                <w:b/>
                <w:color w:val="173B66"/>
                <w:sz w:val="16"/>
              </w:rPr>
              <w:t>KOGO DOTYCZY DOKUMENT</w:t>
              <w:br/>
            </w:r>
            <w:r>
              <w:rPr>
                <w:rFonts w:ascii="Arial" w:hAnsi="Arial" w:eastAsia="Arial"/>
                <w:color w:val="253444"/>
                <w:sz w:val="15"/>
              </w:rPr>
              <w:t>Klauzula dotyczy zleceniodawców, płatników, nadawców, odbiorców, właścicieli przesyłek, osób upoważnionych oraz innych osób kontaktowych wskazanych przy organizacji i realizacji transportu. Obejmuje dane pozyskane bezpośrednio od danej osoby, jak również przekazane przez inną stronę zlecenia lub platformę pośredniczącą.</w:t>
            </w:r>
          </w:p>
        </w:tc>
      </w:tr>
    </w:tbl>
    <w:tbl>
      <w:tblPr>
        <w:tblW w:type="dxa" w:w="10376"/>
        <w:jc w:val="center"/>
        <w:tblLook w:firstColumn="1" w:firstRow="1" w:lastColumn="0" w:lastRow="0" w:noHBand="0" w:noVBand="1" w:val="04A0"/>
        <w:tblLayout w:type="fixed"/>
      </w:tblPr>
      <w:tblGrid>
        <w:gridCol w:w="10376"/>
      </w:tblGrid>
      <w:tr>
        <w:tc>
          <w:tcPr>
            <w:tcW w:type="dxa" w:w="10376"/>
            <w:shd w:fill="173B66"/>
            <w:tcBorders>
              <w:top w:val="single" w:sz="8" w:space="0" w:color="173B66"/>
              <w:left w:val="single" w:sz="8" w:space="0" w:color="173B66"/>
              <w:bottom w:val="single" w:sz="8" w:space="0" w:color="173B66"/>
              <w:right w:val="single" w:sz="8" w:space="0" w:color="173B66"/>
            </w:tcBorders>
            <w:tcMar>
              <w:top w:w="60" w:type="dxa"/>
              <w:start w:w="95" w:type="dxa"/>
              <w:bottom w:w="60" w:type="dxa"/>
              <w:end w:w="95" w:type="dxa"/>
            </w:tcMar>
          </w:tcPr>
          <w:p>
            <w:pPr>
              <w:spacing w:after="0"/>
              <w:keepNext/>
            </w:pPr>
            <w:r>
              <w:rPr>
                <w:rFonts w:ascii="Arial" w:hAnsi="Arial" w:eastAsia="Arial"/>
                <w:b/>
                <w:color w:val="FFFFFF"/>
                <w:sz w:val="20"/>
              </w:rPr>
              <w:t>1. ADMINISTRATOR DANYCH I KONTAKT</w:t>
            </w:r>
          </w:p>
        </w:tc>
      </w:tr>
    </w:tbl>
    <w:tbl>
      <w:tblPr>
        <w:tblW w:type="dxa" w:w="10376"/>
        <w:jc w:val="center"/>
        <w:tblLook w:firstColumn="1" w:firstRow="1" w:lastColumn="0" w:lastRow="0" w:noHBand="0" w:noVBand="1" w:val="04A0"/>
        <w:tblLayout w:type="fixed"/>
      </w:tblPr>
      <w:tblGrid>
        <w:gridCol w:w="5188"/>
        <w:gridCol w:w="5188"/>
      </w:tblGrid>
      <w:tr>
        <w:trPr>
          <w:cantSplit/>
        </w:trPr>
        <w:tc>
          <w:tcPr>
            <w:tcW w:type="dxa" w:w="2891"/>
            <w:shd w:fill="DCE7F3"/>
            <w:tcBorders>
              <w:top w:val="single" w:sz="5" w:space="0" w:color="8EA6BF"/>
              <w:left w:val="single" w:sz="5" w:space="0" w:color="8EA6BF"/>
              <w:bottom w:val="single" w:sz="5" w:space="0" w:color="8EA6BF"/>
              <w:right w:val="single" w:sz="5" w:space="0" w:color="8EA6BF"/>
            </w:tcBorders>
            <w:tcMar>
              <w:top w:w="65" w:type="dxa"/>
              <w:start w:w="85" w:type="dxa"/>
              <w:bottom w:w="65" w:type="dxa"/>
              <w:end w:w="85" w:type="dxa"/>
            </w:tcMar>
          </w:tcPr>
          <w:p>
            <w:pPr>
              <w:spacing w:after="0"/>
            </w:pPr>
            <w:r>
              <w:rPr>
                <w:rFonts w:ascii="Arial" w:hAnsi="Arial" w:eastAsia="Arial"/>
                <w:b/>
                <w:color w:val="173B66"/>
                <w:sz w:val="16"/>
              </w:rPr>
              <w:t>Administrator</w:t>
            </w:r>
          </w:p>
        </w:tc>
        <w:tc>
          <w:tcPr>
            <w:tcW w:type="dxa" w:w="7484"/>
            <w:shd w:fill="FFFFFF"/>
            <w:tcBorders>
              <w:top w:val="single" w:sz="5" w:space="0" w:color="8EA6BF"/>
              <w:left w:val="single" w:sz="5" w:space="0" w:color="8EA6BF"/>
              <w:bottom w:val="single" w:sz="5" w:space="0" w:color="8EA6BF"/>
              <w:right w:val="single" w:sz="5" w:space="0" w:color="8EA6BF"/>
            </w:tcBorders>
            <w:tcMar>
              <w:top w:w="65" w:type="dxa"/>
              <w:start w:w="85" w:type="dxa"/>
              <w:bottom w:w="65" w:type="dxa"/>
              <w:end w:w="85" w:type="dxa"/>
            </w:tcMar>
          </w:tcPr>
          <w:p>
            <w:pPr>
              <w:spacing w:after="0"/>
            </w:pPr>
            <w:r>
              <w:rPr>
                <w:rFonts w:ascii="Arial" w:hAnsi="Arial" w:eastAsia="Arial"/>
                <w:b w:val="0"/>
                <w:color w:val="253444"/>
                <w:sz w:val="16"/>
              </w:rPr>
              <w:t>Alan Kopras, przedsiębiorca prowadzący działalność gospodarczą pod marką ASAP Solutions</w:t>
            </w:r>
          </w:p>
        </w:tc>
      </w:tr>
      <w:tr>
        <w:trPr>
          <w:cantSplit/>
        </w:trPr>
        <w:tc>
          <w:tcPr>
            <w:tcW w:type="dxa" w:w="2891"/>
            <w:shd w:fill="DCE7F3"/>
            <w:tcBorders>
              <w:top w:val="single" w:sz="5" w:space="0" w:color="8EA6BF"/>
              <w:left w:val="single" w:sz="5" w:space="0" w:color="8EA6BF"/>
              <w:bottom w:val="single" w:sz="5" w:space="0" w:color="8EA6BF"/>
              <w:right w:val="single" w:sz="5" w:space="0" w:color="8EA6BF"/>
            </w:tcBorders>
            <w:tcMar>
              <w:top w:w="65" w:type="dxa"/>
              <w:start w:w="85" w:type="dxa"/>
              <w:bottom w:w="65" w:type="dxa"/>
              <w:end w:w="85" w:type="dxa"/>
            </w:tcMar>
          </w:tcPr>
          <w:p>
            <w:pPr>
              <w:spacing w:after="0"/>
            </w:pPr>
            <w:r>
              <w:rPr>
                <w:rFonts w:ascii="Arial" w:hAnsi="Arial" w:eastAsia="Arial"/>
                <w:b/>
                <w:color w:val="173B66"/>
                <w:sz w:val="16"/>
              </w:rPr>
              <w:t>Adres</w:t>
            </w:r>
          </w:p>
        </w:tc>
        <w:tc>
          <w:tcPr>
            <w:tcW w:type="dxa" w:w="7484"/>
            <w:shd w:fill="F5F8FB"/>
            <w:tcBorders>
              <w:top w:val="single" w:sz="5" w:space="0" w:color="8EA6BF"/>
              <w:left w:val="single" w:sz="5" w:space="0" w:color="8EA6BF"/>
              <w:bottom w:val="single" w:sz="5" w:space="0" w:color="8EA6BF"/>
              <w:right w:val="single" w:sz="5" w:space="0" w:color="8EA6BF"/>
            </w:tcBorders>
            <w:tcMar>
              <w:top w:w="65" w:type="dxa"/>
              <w:start w:w="85" w:type="dxa"/>
              <w:bottom w:w="65" w:type="dxa"/>
              <w:end w:w="85" w:type="dxa"/>
            </w:tcMar>
          </w:tcPr>
          <w:p>
            <w:pPr>
              <w:spacing w:after="0"/>
            </w:pPr>
            <w:r>
              <w:rPr>
                <w:rFonts w:ascii="Arial" w:hAnsi="Arial" w:eastAsia="Arial"/>
                <w:b w:val="0"/>
                <w:color w:val="253444"/>
                <w:sz w:val="16"/>
              </w:rPr>
              <w:t>ul. Podlas 3/26, 41-712 Ruda Śląska, Polska</w:t>
            </w:r>
          </w:p>
        </w:tc>
      </w:tr>
      <w:tr>
        <w:trPr>
          <w:cantSplit/>
        </w:trPr>
        <w:tc>
          <w:tcPr>
            <w:tcW w:type="dxa" w:w="2891"/>
            <w:shd w:fill="DCE7F3"/>
            <w:tcBorders>
              <w:top w:val="single" w:sz="5" w:space="0" w:color="8EA6BF"/>
              <w:left w:val="single" w:sz="5" w:space="0" w:color="8EA6BF"/>
              <w:bottom w:val="single" w:sz="5" w:space="0" w:color="8EA6BF"/>
              <w:right w:val="single" w:sz="5" w:space="0" w:color="8EA6BF"/>
            </w:tcBorders>
            <w:tcMar>
              <w:top w:w="65" w:type="dxa"/>
              <w:start w:w="85" w:type="dxa"/>
              <w:bottom w:w="65" w:type="dxa"/>
              <w:end w:w="85" w:type="dxa"/>
            </w:tcMar>
          </w:tcPr>
          <w:p>
            <w:pPr>
              <w:spacing w:after="0"/>
            </w:pPr>
            <w:r>
              <w:rPr>
                <w:rFonts w:ascii="Arial" w:hAnsi="Arial" w:eastAsia="Arial"/>
                <w:b/>
                <w:color w:val="173B66"/>
                <w:sz w:val="16"/>
              </w:rPr>
              <w:t>Kontakt</w:t>
            </w:r>
          </w:p>
        </w:tc>
        <w:tc>
          <w:tcPr>
            <w:tcW w:type="dxa" w:w="7484"/>
            <w:shd w:fill="FFFFFF"/>
            <w:tcBorders>
              <w:top w:val="single" w:sz="5" w:space="0" w:color="8EA6BF"/>
              <w:left w:val="single" w:sz="5" w:space="0" w:color="8EA6BF"/>
              <w:bottom w:val="single" w:sz="5" w:space="0" w:color="8EA6BF"/>
              <w:right w:val="single" w:sz="5" w:space="0" w:color="8EA6BF"/>
            </w:tcBorders>
            <w:tcMar>
              <w:top w:w="65" w:type="dxa"/>
              <w:start w:w="85" w:type="dxa"/>
              <w:bottom w:w="65" w:type="dxa"/>
              <w:end w:w="85" w:type="dxa"/>
            </w:tcMar>
          </w:tcPr>
          <w:p>
            <w:pPr>
              <w:spacing w:after="0"/>
            </w:pPr>
            <w:r>
              <w:rPr>
                <w:rFonts w:ascii="Arial" w:hAnsi="Arial" w:eastAsia="Arial"/>
                <w:b w:val="0"/>
                <w:color w:val="253444"/>
                <w:sz w:val="16"/>
              </w:rPr>
              <w:t>e-mail: alan.kopras@pm.me  |  tel. 668 154 722</w:t>
            </w:r>
          </w:p>
        </w:tc>
      </w:tr>
    </w:tbl>
    <w:p>
      <w:pPr>
        <w:spacing w:before="70" w:after="30" w:line="250" w:lineRule="auto"/>
      </w:pPr>
      <w:r>
        <w:rPr>
          <w:rFonts w:ascii="Arial" w:hAnsi="Arial" w:eastAsia="Arial"/>
          <w:b/>
          <w:color w:val="173B66"/>
          <w:sz w:val="18"/>
        </w:rPr>
        <w:t>2. Cele i podstawy przetwarzania</w:t>
        <w:br/>
      </w:r>
      <w:r>
        <w:rPr>
          <w:rFonts w:ascii="Arial" w:hAnsi="Arial" w:eastAsia="Arial"/>
          <w:color w:val="253444"/>
          <w:sz w:val="16"/>
        </w:rPr>
        <w:t>Dane osobowe są przetwarzane wyłącznie w zakresie niezbędnym do prowadzenia działalności transportowej, obsługi zleceń oraz zabezpieczenia praw administratora i osób korzystających z usług.</w:t>
      </w:r>
    </w:p>
    <w:p>
      <w:pPr>
        <w:spacing w:after="24" w:line="245" w:lineRule="auto"/>
        <w:ind w:left="238" w:hanging="153"/>
      </w:pPr>
      <w:r>
        <w:rPr>
          <w:rFonts w:ascii="Arial" w:hAnsi="Arial" w:eastAsia="Arial"/>
          <w:b/>
          <w:color w:val="173B66"/>
          <w:sz w:val="16"/>
        </w:rPr>
        <w:t xml:space="preserve">• </w:t>
      </w:r>
      <w:r>
        <w:rPr>
          <w:rFonts w:ascii="Arial" w:hAnsi="Arial" w:eastAsia="Arial"/>
          <w:color w:val="253444"/>
          <w:sz w:val="16"/>
        </w:rPr>
        <w:t>przygotowanie wyceny, kontakt przed zawarciem umowy, zawarcie i wykonanie umowy przewozu lub czynności dodatkowych - na podstawie art. 6 ust. 1 lit. b RODO;</w:t>
      </w:r>
    </w:p>
    <w:p>
      <w:pPr>
        <w:spacing w:after="24" w:line="245" w:lineRule="auto"/>
        <w:ind w:left="238" w:hanging="153"/>
      </w:pPr>
      <w:r>
        <w:rPr>
          <w:rFonts w:ascii="Arial" w:hAnsi="Arial" w:eastAsia="Arial"/>
          <w:b/>
          <w:color w:val="173B66"/>
          <w:sz w:val="16"/>
        </w:rPr>
        <w:t xml:space="preserve">• </w:t>
      </w:r>
      <w:r>
        <w:rPr>
          <w:rFonts w:ascii="Arial" w:hAnsi="Arial" w:eastAsia="Arial"/>
          <w:color w:val="253444"/>
          <w:sz w:val="16"/>
        </w:rPr>
        <w:t>organizacja załadunku i rozładunku, kontakt z nadawcą, odbiorcą lub osobą upoważnioną, dokumentowanie przyjęcia i wydania przesyłki oraz obsługa zmian zlecenia - na podstawie art. 6 ust. 1 lit. b RODO, a wobec osób niebędących stroną umowy także art. 6 ust. 1 lit. f RODO;</w:t>
      </w:r>
    </w:p>
    <w:p>
      <w:pPr>
        <w:spacing w:after="24" w:line="245" w:lineRule="auto"/>
        <w:ind w:left="238" w:hanging="153"/>
      </w:pPr>
      <w:r>
        <w:rPr>
          <w:rFonts w:ascii="Arial" w:hAnsi="Arial" w:eastAsia="Arial"/>
          <w:b/>
          <w:color w:val="173B66"/>
          <w:sz w:val="16"/>
        </w:rPr>
        <w:t xml:space="preserve">• </w:t>
      </w:r>
      <w:r>
        <w:rPr>
          <w:rFonts w:ascii="Arial" w:hAnsi="Arial" w:eastAsia="Arial"/>
          <w:color w:val="253444"/>
          <w:sz w:val="16"/>
        </w:rPr>
        <w:t>wystawianie i przechowywanie faktur, prowadzenie rozliczeń oraz wykonywanie obowiązków podatkowych, księgowych i innych obowiązków prawnych - na podstawie art. 6 ust. 1 lit. c RODO;</w:t>
      </w:r>
    </w:p>
    <w:p>
      <w:pPr>
        <w:spacing w:after="24" w:line="245" w:lineRule="auto"/>
        <w:ind w:left="238" w:hanging="153"/>
      </w:pPr>
      <w:r>
        <w:rPr>
          <w:rFonts w:ascii="Arial" w:hAnsi="Arial" w:eastAsia="Arial"/>
          <w:b/>
          <w:color w:val="173B66"/>
          <w:sz w:val="16"/>
        </w:rPr>
        <w:t xml:space="preserve">• </w:t>
      </w:r>
      <w:r>
        <w:rPr>
          <w:rFonts w:ascii="Arial" w:hAnsi="Arial" w:eastAsia="Arial"/>
          <w:color w:val="253444"/>
          <w:sz w:val="16"/>
        </w:rPr>
        <w:t>obsługa reklamacji, szkód, roszczeń, windykacji, obrona przed roszczeniami oraz zapewnienie bezpieczeństwa osób, przesyłek i pojazdu - na podstawie art. 6 ust. 1 lit. f RODO;</w:t>
      </w:r>
    </w:p>
    <w:p>
      <w:pPr>
        <w:spacing w:after="24" w:line="245" w:lineRule="auto"/>
        <w:ind w:left="238" w:hanging="153"/>
      </w:pPr>
      <w:r>
        <w:rPr>
          <w:rFonts w:ascii="Arial" w:hAnsi="Arial" w:eastAsia="Arial"/>
          <w:b/>
          <w:color w:val="173B66"/>
          <w:sz w:val="16"/>
        </w:rPr>
        <w:t xml:space="preserve">• </w:t>
      </w:r>
      <w:r>
        <w:rPr>
          <w:rFonts w:ascii="Arial" w:hAnsi="Arial" w:eastAsia="Arial"/>
          <w:color w:val="253444"/>
          <w:sz w:val="16"/>
        </w:rPr>
        <w:t>utrzymywanie korespondencji i dokumentacji dotyczącej zlecenia, w tym listów przewozowych, protokołów i dokumentacji zdjęciowej - na podstawie art. 6 ust. 1 lit. b, c lub f RODO, zależnie od celu dokumentacji.</w:t>
      </w:r>
    </w:p>
    <w:p>
      <w:pPr>
        <w:spacing w:before="70" w:after="30" w:line="250" w:lineRule="auto"/>
      </w:pPr>
      <w:r>
        <w:rPr>
          <w:rFonts w:ascii="Arial" w:hAnsi="Arial" w:eastAsia="Arial"/>
          <w:b/>
          <w:color w:val="173B66"/>
          <w:sz w:val="18"/>
        </w:rPr>
        <w:t>3. Zakres przetwarzanych danych</w:t>
        <w:br/>
      </w:r>
      <w:r>
        <w:rPr>
          <w:rFonts w:ascii="Arial" w:hAnsi="Arial" w:eastAsia="Arial"/>
          <w:color w:val="253444"/>
          <w:sz w:val="16"/>
        </w:rPr>
        <w:t>W zależności od roli danej osoby i charakteru zlecenia administrator może przetwarzać w szczególności:</w:t>
      </w:r>
    </w:p>
    <w:p>
      <w:pPr>
        <w:spacing w:after="24" w:line="245" w:lineRule="auto"/>
        <w:ind w:left="238" w:hanging="153"/>
      </w:pPr>
      <w:r>
        <w:rPr>
          <w:rFonts w:ascii="Arial" w:hAnsi="Arial" w:eastAsia="Arial"/>
          <w:b/>
          <w:color w:val="173B66"/>
          <w:sz w:val="16"/>
        </w:rPr>
        <w:t xml:space="preserve">• </w:t>
      </w:r>
      <w:r>
        <w:rPr>
          <w:rFonts w:ascii="Arial" w:hAnsi="Arial" w:eastAsia="Arial"/>
          <w:color w:val="253444"/>
          <w:sz w:val="16"/>
        </w:rPr>
        <w:t>imię i nazwisko, nazwa firmy, stanowisko lub rola przy realizacji zlecenia;</w:t>
      </w:r>
    </w:p>
    <w:p>
      <w:pPr>
        <w:spacing w:after="24" w:line="245" w:lineRule="auto"/>
        <w:ind w:left="238" w:hanging="153"/>
      </w:pPr>
      <w:r>
        <w:rPr>
          <w:rFonts w:ascii="Arial" w:hAnsi="Arial" w:eastAsia="Arial"/>
          <w:b/>
          <w:color w:val="173B66"/>
          <w:sz w:val="16"/>
        </w:rPr>
        <w:t xml:space="preserve">• </w:t>
      </w:r>
      <w:r>
        <w:rPr>
          <w:rFonts w:ascii="Arial" w:hAnsi="Arial" w:eastAsia="Arial"/>
          <w:color w:val="253444"/>
          <w:sz w:val="16"/>
        </w:rPr>
        <w:t>numer telefonu, adres e-mail, adres zamieszkania, korespondencyjny, załadunku lub rozładunku;</w:t>
      </w:r>
    </w:p>
    <w:p>
      <w:pPr>
        <w:spacing w:after="24" w:line="245" w:lineRule="auto"/>
        <w:ind w:left="238" w:hanging="153"/>
      </w:pPr>
      <w:r>
        <w:rPr>
          <w:rFonts w:ascii="Arial" w:hAnsi="Arial" w:eastAsia="Arial"/>
          <w:b/>
          <w:color w:val="173B66"/>
          <w:sz w:val="16"/>
        </w:rPr>
        <w:t xml:space="preserve">• </w:t>
      </w:r>
      <w:r>
        <w:rPr>
          <w:rFonts w:ascii="Arial" w:hAnsi="Arial" w:eastAsia="Arial"/>
          <w:color w:val="253444"/>
          <w:sz w:val="16"/>
        </w:rPr>
        <w:t>NIP i dane niezbędne do wystawienia dokumentu księgowego;</w:t>
      </w:r>
    </w:p>
    <w:p>
      <w:pPr>
        <w:spacing w:after="24" w:line="245" w:lineRule="auto"/>
        <w:ind w:left="238" w:hanging="153"/>
      </w:pPr>
      <w:r>
        <w:rPr>
          <w:rFonts w:ascii="Arial" w:hAnsi="Arial" w:eastAsia="Arial"/>
          <w:b/>
          <w:color w:val="173B66"/>
          <w:sz w:val="16"/>
        </w:rPr>
        <w:t xml:space="preserve">• </w:t>
      </w:r>
      <w:r>
        <w:rPr>
          <w:rFonts w:ascii="Arial" w:hAnsi="Arial" w:eastAsia="Arial"/>
          <w:color w:val="253444"/>
          <w:sz w:val="16"/>
        </w:rPr>
        <w:t>informacje zawarte w zleceniu, korespondencji, liście przewozowym, upoważnieniu, protokole szkody lub reklamacji;</w:t>
      </w:r>
    </w:p>
    <w:p>
      <w:pPr>
        <w:spacing w:after="24" w:line="245" w:lineRule="auto"/>
        <w:ind w:left="238" w:hanging="153"/>
      </w:pPr>
      <w:r>
        <w:rPr>
          <w:rFonts w:ascii="Arial" w:hAnsi="Arial" w:eastAsia="Arial"/>
          <w:b/>
          <w:color w:val="173B66"/>
          <w:sz w:val="16"/>
        </w:rPr>
        <w:t xml:space="preserve">• </w:t>
      </w:r>
      <w:r>
        <w:rPr>
          <w:rFonts w:ascii="Arial" w:hAnsi="Arial" w:eastAsia="Arial"/>
          <w:color w:val="253444"/>
          <w:sz w:val="16"/>
        </w:rPr>
        <w:t>wizerunek lub inne dane widoczne na dokumentacji zdjęciowej wyłącznie wtedy, gdy przypadkowo lub celowo znalazły się w materiale niezbędnym do udokumentowania realizacji albo zdarzenia;</w:t>
      </w:r>
    </w:p>
    <w:p>
      <w:pPr>
        <w:spacing w:after="24" w:line="245" w:lineRule="auto"/>
        <w:ind w:left="238" w:hanging="153"/>
      </w:pPr>
      <w:r>
        <w:rPr>
          <w:rFonts w:ascii="Arial" w:hAnsi="Arial" w:eastAsia="Arial"/>
          <w:b/>
          <w:color w:val="173B66"/>
          <w:sz w:val="16"/>
        </w:rPr>
        <w:t xml:space="preserve">• </w:t>
      </w:r>
      <w:r>
        <w:rPr>
          <w:rFonts w:ascii="Arial" w:hAnsi="Arial" w:eastAsia="Arial"/>
          <w:color w:val="253444"/>
          <w:sz w:val="16"/>
        </w:rPr>
        <w:t>dane dotyczące płatności, rozliczeń, roszczeń i kontaktów związanych z transportem.</w:t>
      </w:r>
    </w:p>
    <w:p>
      <w:pPr>
        <w:spacing w:before="70" w:after="30" w:line="250" w:lineRule="auto"/>
      </w:pPr>
      <w:r>
        <w:rPr>
          <w:rFonts w:ascii="Arial" w:hAnsi="Arial" w:eastAsia="Arial"/>
          <w:b/>
          <w:color w:val="173B66"/>
          <w:sz w:val="18"/>
        </w:rPr>
        <w:t>4. Źródło danych</w:t>
        <w:br/>
      </w:r>
      <w:r>
        <w:rPr>
          <w:rFonts w:ascii="Arial" w:hAnsi="Arial" w:eastAsia="Arial"/>
          <w:color w:val="253444"/>
          <w:sz w:val="16"/>
        </w:rPr>
        <w:t>Jeżeli dane nie zostały przekazane bezpośrednio przez osobę, której dotyczą, ich źródłem może być zleceniodawca, płatnik, nadawca, odbiorca, właściciel przesyłki, pracodawca tej osoby, platforma pośrednicząca w zawarciu zlecenia, publiczny rejestr przedsiębiorców albo inna osoba uprawniona do organizacji transportu. W takim przypadku przetwarzane są zwykle dane identyfikacyjne i kontaktowe oraz informacje o roli osoby przy odbiorze lub wydaniu przesyłki.</w:t>
      </w:r>
    </w:p>
    <w:tbl>
      <w:tblPr>
        <w:tblW w:type="dxa" w:w="10376"/>
        <w:jc w:val="center"/>
        <w:tblLook w:firstColumn="1" w:firstRow="1" w:lastColumn="0" w:lastRow="0" w:noHBand="0" w:noVBand="1" w:val="04A0"/>
        <w:tblLayout w:type="fixed"/>
      </w:tblPr>
      <w:tblGrid>
        <w:gridCol w:w="10376"/>
      </w:tblGrid>
      <w:tr>
        <w:tc>
          <w:tcPr>
            <w:tcW w:type="dxa" w:w="10376"/>
            <w:shd w:fill="173B66"/>
            <w:tcBorders>
              <w:top w:val="single" w:sz="8" w:space="0" w:color="173B66"/>
              <w:left w:val="single" w:sz="8" w:space="0" w:color="173B66"/>
              <w:bottom w:val="single" w:sz="8" w:space="0" w:color="173B66"/>
              <w:right w:val="single" w:sz="8" w:space="0" w:color="173B66"/>
            </w:tcBorders>
            <w:tcMar>
              <w:top w:w="60" w:type="dxa"/>
              <w:start w:w="95" w:type="dxa"/>
              <w:bottom w:w="60" w:type="dxa"/>
              <w:end w:w="95" w:type="dxa"/>
            </w:tcMar>
          </w:tcPr>
          <w:p>
            <w:pPr>
              <w:spacing w:after="0"/>
              <w:keepNext/>
            </w:pPr>
            <w:r>
              <w:rPr>
                <w:rFonts w:ascii="Arial" w:hAnsi="Arial" w:eastAsia="Arial"/>
                <w:b/>
                <w:color w:val="FFFFFF"/>
                <w:sz w:val="20"/>
              </w:rPr>
              <w:t>5. ODBIORCY DANYCH, PRZEKAZYWANIE I OKRES PRZECHOWYWANIA</w:t>
            </w:r>
          </w:p>
        </w:tc>
      </w:tr>
    </w:tbl>
    <w:p>
      <w:pPr>
        <w:spacing w:before="70" w:after="30" w:line="250" w:lineRule="auto"/>
      </w:pPr>
      <w:r>
        <w:rPr>
          <w:rFonts w:ascii="Arial" w:hAnsi="Arial" w:eastAsia="Arial"/>
          <w:b/>
          <w:color w:val="173B66"/>
          <w:sz w:val="18"/>
        </w:rPr>
        <w:t>5.1. Odbiorcy danych</w:t>
        <w:br/>
      </w:r>
      <w:r>
        <w:rPr>
          <w:rFonts w:ascii="Arial" w:hAnsi="Arial" w:eastAsia="Arial"/>
          <w:color w:val="253444"/>
          <w:sz w:val="16"/>
        </w:rPr>
        <w:t>Dane mogą być ujawniane wyłącznie w zakresie niezbędnym do realizacji określonego celu. Odbiorcami mogą być:</w:t>
      </w:r>
    </w:p>
    <w:p>
      <w:pPr>
        <w:spacing w:after="24" w:line="245" w:lineRule="auto"/>
        <w:ind w:left="238" w:hanging="153"/>
      </w:pPr>
      <w:r>
        <w:rPr>
          <w:rFonts w:ascii="Arial" w:hAnsi="Arial" w:eastAsia="Arial"/>
          <w:b/>
          <w:color w:val="173B66"/>
          <w:sz w:val="16"/>
        </w:rPr>
        <w:t xml:space="preserve">• </w:t>
      </w:r>
      <w:r>
        <w:rPr>
          <w:rFonts w:ascii="Arial" w:hAnsi="Arial" w:eastAsia="Arial"/>
          <w:color w:val="253444"/>
          <w:sz w:val="16"/>
        </w:rPr>
        <w:t>kierowcy, pracownicy, współpracownicy lub podwykonawcy uczestniczący w realizacji zlecenia;</w:t>
      </w:r>
    </w:p>
    <w:p>
      <w:pPr>
        <w:spacing w:after="24" w:line="245" w:lineRule="auto"/>
        <w:ind w:left="238" w:hanging="153"/>
      </w:pPr>
      <w:r>
        <w:rPr>
          <w:rFonts w:ascii="Arial" w:hAnsi="Arial" w:eastAsia="Arial"/>
          <w:b/>
          <w:color w:val="173B66"/>
          <w:sz w:val="16"/>
        </w:rPr>
        <w:t xml:space="preserve">• </w:t>
      </w:r>
      <w:r>
        <w:rPr>
          <w:rFonts w:ascii="Arial" w:hAnsi="Arial" w:eastAsia="Arial"/>
          <w:color w:val="253444"/>
          <w:sz w:val="16"/>
        </w:rPr>
        <w:t>biuro rachunkowe, dostawcy systemów księgowych, fakturowych, bankowych i płatniczych;</w:t>
      </w:r>
    </w:p>
    <w:p>
      <w:pPr>
        <w:spacing w:after="24" w:line="245" w:lineRule="auto"/>
        <w:ind w:left="238" w:hanging="153"/>
      </w:pPr>
      <w:r>
        <w:rPr>
          <w:rFonts w:ascii="Arial" w:hAnsi="Arial" w:eastAsia="Arial"/>
          <w:b/>
          <w:color w:val="173B66"/>
          <w:sz w:val="16"/>
        </w:rPr>
        <w:t xml:space="preserve">• </w:t>
      </w:r>
      <w:r>
        <w:rPr>
          <w:rFonts w:ascii="Arial" w:hAnsi="Arial" w:eastAsia="Arial"/>
          <w:color w:val="253444"/>
          <w:sz w:val="16"/>
        </w:rPr>
        <w:t>ubezpieczyciele, likwidatorzy szkód, rzeczoznawcy, kancelarie prawne, podmioty windykacyjne oraz organy ścigania lub inne uprawnione organy;</w:t>
      </w:r>
    </w:p>
    <w:p>
      <w:pPr>
        <w:spacing w:after="24" w:line="245" w:lineRule="auto"/>
        <w:ind w:left="238" w:hanging="153"/>
      </w:pPr>
      <w:r>
        <w:rPr>
          <w:rFonts w:ascii="Arial" w:hAnsi="Arial" w:eastAsia="Arial"/>
          <w:b/>
          <w:color w:val="173B66"/>
          <w:sz w:val="16"/>
        </w:rPr>
        <w:t xml:space="preserve">• </w:t>
      </w:r>
      <w:r>
        <w:rPr>
          <w:rFonts w:ascii="Arial" w:hAnsi="Arial" w:eastAsia="Arial"/>
          <w:color w:val="253444"/>
          <w:sz w:val="16"/>
        </w:rPr>
        <w:t>dostawcy poczty elektronicznej, hostingu, chmury, telekomunikacji, archiwizacji i obsługi systemów informatycznych;</w:t>
      </w:r>
    </w:p>
    <w:p>
      <w:pPr>
        <w:spacing w:after="24" w:line="245" w:lineRule="auto"/>
        <w:ind w:left="238" w:hanging="153"/>
      </w:pPr>
      <w:r>
        <w:rPr>
          <w:rFonts w:ascii="Arial" w:hAnsi="Arial" w:eastAsia="Arial"/>
          <w:b/>
          <w:color w:val="173B66"/>
          <w:sz w:val="16"/>
        </w:rPr>
        <w:t xml:space="preserve">• </w:t>
      </w:r>
      <w:r>
        <w:rPr>
          <w:rFonts w:ascii="Arial" w:hAnsi="Arial" w:eastAsia="Arial"/>
          <w:color w:val="253444"/>
          <w:sz w:val="16"/>
        </w:rPr>
        <w:t>platformy pośredniczące w zawieraniu zleceń, operatorzy płatności, poczta lub kurierzy - jeżeli ich udział jest potrzebny;</w:t>
      </w:r>
    </w:p>
    <w:p>
      <w:pPr>
        <w:spacing w:after="24" w:line="245" w:lineRule="auto"/>
        <w:ind w:left="238" w:hanging="153"/>
      </w:pPr>
      <w:r>
        <w:rPr>
          <w:rFonts w:ascii="Arial" w:hAnsi="Arial" w:eastAsia="Arial"/>
          <w:b/>
          <w:color w:val="173B66"/>
          <w:sz w:val="16"/>
        </w:rPr>
        <w:t xml:space="preserve">• </w:t>
      </w:r>
      <w:r>
        <w:rPr>
          <w:rFonts w:ascii="Arial" w:hAnsi="Arial" w:eastAsia="Arial"/>
          <w:color w:val="253444"/>
          <w:sz w:val="16"/>
        </w:rPr>
        <w:t>nadawca, odbiorca, zleceniodawca, płatnik lub właściciel przesyłki - wyłącznie w zakresie potrzebnym do wykonania umowy i udokumentowania transportu.</w:t>
      </w:r>
    </w:p>
    <w:p>
      <w:pPr>
        <w:spacing w:before="70" w:after="30" w:line="250" w:lineRule="auto"/>
      </w:pPr>
      <w:r>
        <w:rPr>
          <w:rFonts w:ascii="Arial" w:hAnsi="Arial" w:eastAsia="Arial"/>
          <w:b/>
          <w:color w:val="173B66"/>
          <w:sz w:val="18"/>
        </w:rPr>
        <w:t>5.2. Przekazywanie danych poza Europejski Obszar Gospodarczy</w:t>
        <w:br/>
      </w:r>
      <w:r>
        <w:rPr>
          <w:rFonts w:ascii="Arial" w:hAnsi="Arial" w:eastAsia="Arial"/>
          <w:color w:val="253444"/>
          <w:sz w:val="16"/>
        </w:rPr>
        <w:t>Administrator korzysta z usług podmiotów informatycznych i komunikacyjnych, które mogą przetwarzać dane również poza Europejskim Obszarem Gospodarczym. Jeżeli do takiego przekazania dochodzi, odbywa się ono na podstawie decyzji Komisji Europejskiej stwierdzającej odpowiedni stopień ochrony albo z zastosowaniem innych zabezpieczeń przewidzianych w RODO, w szczególności standardowych klauzul umownych. Informację o stosowanych zabezpieczeniach można uzyskać, kontaktując się z administratorem.</w:t>
      </w:r>
    </w:p>
    <w:p>
      <w:pPr>
        <w:spacing w:before="70" w:after="30" w:line="250" w:lineRule="auto"/>
      </w:pPr>
      <w:r>
        <w:rPr>
          <w:rFonts w:ascii="Arial" w:hAnsi="Arial" w:eastAsia="Arial"/>
          <w:b/>
          <w:color w:val="173B66"/>
          <w:sz w:val="18"/>
        </w:rPr>
        <w:t>5.3. Okres przechowywania</w:t>
        <w:br/>
      </w:r>
      <w:r>
        <w:rPr>
          <w:rFonts w:ascii="Arial" w:hAnsi="Arial" w:eastAsia="Arial"/>
          <w:color w:val="253444"/>
          <w:sz w:val="16"/>
        </w:rPr>
        <w:t>Dane związane z zapytaniem ofertowym są przechowywane przez czas potrzebny do udzielenia odpowiedzi i zakończenia rozmów, a następnie przez okres uzasadniony możliwością wykazania przebiegu ustaleń. Dane związane z zawartą umową są przechowywane przez czas realizacji zlecenia, a później do upływu okresów przedawnienia roszczeń. Dokumenty księgowe i podatkowe są przechowywane przez okres wymagany przepisami, co do zasady przez 5 lat liczonych od końca właściwego roku kalendarzowego. Dane dotyczące szkody, reklamacji lub postępowania są przechowywane do prawomocnego zakończenia sprawy i upływu związanych z nią terminów.</w:t>
      </w:r>
    </w:p>
    <w:tbl>
      <w:tblPr>
        <w:tblW w:type="dxa" w:w="10376"/>
        <w:jc w:val="center"/>
        <w:tblLook w:firstColumn="1" w:firstRow="1" w:lastColumn="0" w:lastRow="0" w:noHBand="0" w:noVBand="1" w:val="04A0"/>
        <w:tblLayout w:type="fixed"/>
      </w:tblPr>
      <w:tblGrid>
        <w:gridCol w:w="10376"/>
      </w:tblGrid>
      <w:tr>
        <w:tc>
          <w:tcPr>
            <w:tcW w:type="dxa" w:w="10376"/>
            <w:shd w:fill="173B66"/>
            <w:tcBorders>
              <w:top w:val="single" w:sz="8" w:space="0" w:color="173B66"/>
              <w:left w:val="single" w:sz="8" w:space="0" w:color="173B66"/>
              <w:bottom w:val="single" w:sz="8" w:space="0" w:color="173B66"/>
              <w:right w:val="single" w:sz="8" w:space="0" w:color="173B66"/>
            </w:tcBorders>
            <w:tcMar>
              <w:top w:w="60" w:type="dxa"/>
              <w:start w:w="95" w:type="dxa"/>
              <w:bottom w:w="60" w:type="dxa"/>
              <w:end w:w="95" w:type="dxa"/>
            </w:tcMar>
          </w:tcPr>
          <w:p>
            <w:pPr>
              <w:spacing w:after="0"/>
              <w:keepNext/>
            </w:pPr>
            <w:r>
              <w:rPr>
                <w:rFonts w:ascii="Arial" w:hAnsi="Arial" w:eastAsia="Arial"/>
                <w:b/>
                <w:color w:val="FFFFFF"/>
                <w:sz w:val="20"/>
              </w:rPr>
              <w:t>6. PRAWA OSÓB, OBOWIĄZEK PODANIA DANYCH I POZOSTAŁE INFORMACJE</w:t>
            </w:r>
          </w:p>
        </w:tc>
      </w:tr>
    </w:tbl>
    <w:p>
      <w:pPr>
        <w:spacing w:before="70" w:after="30" w:line="250" w:lineRule="auto"/>
      </w:pPr>
      <w:r>
        <w:rPr>
          <w:rFonts w:ascii="Arial" w:hAnsi="Arial" w:eastAsia="Arial"/>
          <w:b/>
          <w:color w:val="173B66"/>
          <w:sz w:val="18"/>
        </w:rPr>
        <w:t>6.1. Prawa osoby, której dane dotyczą</w:t>
        <w:br/>
      </w:r>
      <w:r>
        <w:rPr>
          <w:rFonts w:ascii="Arial" w:hAnsi="Arial" w:eastAsia="Arial"/>
          <w:color w:val="253444"/>
          <w:sz w:val="16"/>
        </w:rPr>
        <w:t>Na zasadach określonych w RODO osobie przysługują:</w:t>
      </w:r>
    </w:p>
    <w:p>
      <w:pPr>
        <w:spacing w:after="24" w:line="245" w:lineRule="auto"/>
        <w:ind w:left="238" w:hanging="153"/>
      </w:pPr>
      <w:r>
        <w:rPr>
          <w:rFonts w:ascii="Arial" w:hAnsi="Arial" w:eastAsia="Arial"/>
          <w:b/>
          <w:color w:val="173B66"/>
          <w:sz w:val="16"/>
        </w:rPr>
        <w:t xml:space="preserve">• </w:t>
      </w:r>
      <w:r>
        <w:rPr>
          <w:rFonts w:ascii="Arial" w:hAnsi="Arial" w:eastAsia="Arial"/>
          <w:color w:val="253444"/>
          <w:sz w:val="16"/>
        </w:rPr>
        <w:t>prawo dostępu do danych i otrzymania ich kopii;</w:t>
      </w:r>
    </w:p>
    <w:p>
      <w:pPr>
        <w:spacing w:after="24" w:line="245" w:lineRule="auto"/>
        <w:ind w:left="238" w:hanging="153"/>
      </w:pPr>
      <w:r>
        <w:rPr>
          <w:rFonts w:ascii="Arial" w:hAnsi="Arial" w:eastAsia="Arial"/>
          <w:b/>
          <w:color w:val="173B66"/>
          <w:sz w:val="16"/>
        </w:rPr>
        <w:t xml:space="preserve">• </w:t>
      </w:r>
      <w:r>
        <w:rPr>
          <w:rFonts w:ascii="Arial" w:hAnsi="Arial" w:eastAsia="Arial"/>
          <w:color w:val="253444"/>
          <w:sz w:val="16"/>
        </w:rPr>
        <w:t>prawo sprostowania danych oraz uzupełnienia danych niekompletnych;</w:t>
      </w:r>
    </w:p>
    <w:p>
      <w:pPr>
        <w:spacing w:after="24" w:line="245" w:lineRule="auto"/>
        <w:ind w:left="238" w:hanging="153"/>
      </w:pPr>
      <w:r>
        <w:rPr>
          <w:rFonts w:ascii="Arial" w:hAnsi="Arial" w:eastAsia="Arial"/>
          <w:b/>
          <w:color w:val="173B66"/>
          <w:sz w:val="16"/>
        </w:rPr>
        <w:t xml:space="preserve">• </w:t>
      </w:r>
      <w:r>
        <w:rPr>
          <w:rFonts w:ascii="Arial" w:hAnsi="Arial" w:eastAsia="Arial"/>
          <w:color w:val="253444"/>
          <w:sz w:val="16"/>
        </w:rPr>
        <w:t>prawo żądania usunięcia danych lub ograniczenia ich przetwarzania, gdy zachodzą przesłanki prawne;</w:t>
      </w:r>
    </w:p>
    <w:p>
      <w:pPr>
        <w:spacing w:after="24" w:line="245" w:lineRule="auto"/>
        <w:ind w:left="238" w:hanging="153"/>
      </w:pPr>
      <w:r>
        <w:rPr>
          <w:rFonts w:ascii="Arial" w:hAnsi="Arial" w:eastAsia="Arial"/>
          <w:b/>
          <w:color w:val="173B66"/>
          <w:sz w:val="16"/>
        </w:rPr>
        <w:t xml:space="preserve">• </w:t>
      </w:r>
      <w:r>
        <w:rPr>
          <w:rFonts w:ascii="Arial" w:hAnsi="Arial" w:eastAsia="Arial"/>
          <w:color w:val="253444"/>
          <w:sz w:val="16"/>
        </w:rPr>
        <w:t>prawo przenoszenia danych, gdy przetwarzanie odbywa się na podstawie umowy lub zgody i w sposób zautomatyzowany;</w:t>
      </w:r>
    </w:p>
    <w:p>
      <w:pPr>
        <w:spacing w:after="24" w:line="245" w:lineRule="auto"/>
        <w:ind w:left="238" w:hanging="153"/>
      </w:pPr>
      <w:r>
        <w:rPr>
          <w:rFonts w:ascii="Arial" w:hAnsi="Arial" w:eastAsia="Arial"/>
          <w:b/>
          <w:color w:val="173B66"/>
          <w:sz w:val="16"/>
        </w:rPr>
        <w:t xml:space="preserve">• </w:t>
      </w:r>
      <w:r>
        <w:rPr>
          <w:rFonts w:ascii="Arial" w:hAnsi="Arial" w:eastAsia="Arial"/>
          <w:color w:val="253444"/>
          <w:sz w:val="16"/>
        </w:rPr>
        <w:t>prawo wniesienia sprzeciwu wobec przetwarzania opartego na prawnie uzasadnionym interesie administratora - z przyczyn związanych ze szczególną sytuacją danej osoby;</w:t>
      </w:r>
    </w:p>
    <w:p>
      <w:pPr>
        <w:spacing w:after="24" w:line="245" w:lineRule="auto"/>
        <w:ind w:left="238" w:hanging="153"/>
      </w:pPr>
      <w:r>
        <w:rPr>
          <w:rFonts w:ascii="Arial" w:hAnsi="Arial" w:eastAsia="Arial"/>
          <w:b/>
          <w:color w:val="173B66"/>
          <w:sz w:val="16"/>
        </w:rPr>
        <w:t xml:space="preserve">• </w:t>
      </w:r>
      <w:r>
        <w:rPr>
          <w:rFonts w:ascii="Arial" w:hAnsi="Arial" w:eastAsia="Arial"/>
          <w:color w:val="253444"/>
          <w:sz w:val="16"/>
        </w:rPr>
        <w:t>prawo wniesienia skargi do Prezesa Urzędu Ochrony Danych Osobowych, jeżeli osoba uważa, że jej dane są przetwarzane niezgodnie z prawem.</w:t>
      </w:r>
    </w:p>
    <w:p>
      <w:pPr>
        <w:spacing w:before="70" w:after="30" w:line="250" w:lineRule="auto"/>
      </w:pPr>
      <w:r>
        <w:rPr>
          <w:rFonts w:ascii="Arial" w:hAnsi="Arial" w:eastAsia="Arial"/>
          <w:b/>
          <w:color w:val="173B66"/>
          <w:sz w:val="18"/>
        </w:rPr>
        <w:t>6.2. Dobrowolność i obowiązek podania danych</w:t>
        <w:br/>
      </w:r>
      <w:r>
        <w:rPr>
          <w:rFonts w:ascii="Arial" w:hAnsi="Arial" w:eastAsia="Arial"/>
          <w:color w:val="253444"/>
          <w:sz w:val="16"/>
        </w:rPr>
        <w:t>Podanie danych jest dobrowolne, lecz dane wskazane jako konieczne do przygotowania wyceny, zawarcia umowy, kontaktu przy załadunku lub rozładunku, wydania przesyłki, rozliczenia albo wystawienia faktury są niezbędne. Brak takich danych może uniemożliwić zawarcie lub wykonanie umowy, prawidłowe wydanie przesyłki albo realizację obowiązku prawnego.</w:t>
      </w:r>
    </w:p>
    <w:p>
      <w:pPr>
        <w:spacing w:before="70" w:after="30" w:line="250" w:lineRule="auto"/>
      </w:pPr>
      <w:r>
        <w:rPr>
          <w:rFonts w:ascii="Arial" w:hAnsi="Arial" w:eastAsia="Arial"/>
          <w:b/>
          <w:color w:val="173B66"/>
          <w:sz w:val="18"/>
        </w:rPr>
        <w:t>6.3. Zautomatyzowane podejmowanie decyzji</w:t>
        <w:br/>
      </w:r>
      <w:r>
        <w:rPr>
          <w:rFonts w:ascii="Arial" w:hAnsi="Arial" w:eastAsia="Arial"/>
          <w:color w:val="253444"/>
          <w:sz w:val="16"/>
        </w:rPr>
        <w:t>Dane nie są wykorzystywane do podejmowania wobec osób decyzji wyłącznie w sposób zautomatyzowany, w tym do profilowania, które wywoływałoby skutki prawne lub w podobny sposób istotnie wpływało na daną osobę.</w:t>
      </w:r>
    </w:p>
    <w:tbl>
      <w:tblPr>
        <w:tblW w:type="dxa" w:w="10376"/>
        <w:jc w:val="center"/>
        <w:tblLook w:firstColumn="1" w:firstRow="1" w:lastColumn="0" w:lastRow="0" w:noHBand="0" w:noVBand="1" w:val="04A0"/>
        <w:tblLayout w:type="fixed"/>
      </w:tblPr>
      <w:tblGrid>
        <w:gridCol w:w="10376"/>
      </w:tblGrid>
      <w:tr>
        <w:tc>
          <w:tcPr>
            <w:tcW w:type="dxa" w:w="10376"/>
            <w:shd w:fill="F5F8FB"/>
            <w:tcBorders>
              <w:top w:val="single" w:sz="5" w:space="0" w:color="8EA6BF"/>
              <w:left w:val="single" w:sz="5" w:space="0" w:color="8EA6BF"/>
              <w:bottom w:val="single" w:sz="5" w:space="0" w:color="8EA6BF"/>
              <w:right w:val="single" w:sz="5" w:space="0" w:color="8EA6BF"/>
            </w:tcBorders>
            <w:tcMar>
              <w:top w:w="75" w:type="dxa"/>
              <w:start w:w="95" w:type="dxa"/>
              <w:bottom w:w="75" w:type="dxa"/>
              <w:end w:w="95" w:type="dxa"/>
            </w:tcMar>
          </w:tcPr>
          <w:p>
            <w:pPr>
              <w:spacing w:after="0" w:line="247" w:lineRule="auto"/>
            </w:pPr>
            <w:r>
              <w:rPr>
                <w:rFonts w:ascii="Arial" w:hAnsi="Arial" w:eastAsia="Arial"/>
                <w:b/>
                <w:color w:val="173B66"/>
                <w:sz w:val="16"/>
              </w:rPr>
              <w:t>JAK SKORZYSTAĆ Z PRAW</w:t>
              <w:br/>
            </w:r>
            <w:r>
              <w:rPr>
                <w:rFonts w:ascii="Arial" w:hAnsi="Arial" w:eastAsia="Arial"/>
                <w:color w:val="253444"/>
                <w:sz w:val="15"/>
              </w:rPr>
              <w:t>Wniosek dotyczący danych można wysłać na adres: alan.kopras@pm.me lub listownie na adres administratora. Administrator może poprosić o informacje pozwalające potwierdzić tożsamość osoby składającej wniosek. Dokument nie wymaga podpisu osoby, której dane dotyczą - służy realizacji obowiązku informacyjnego.</w:t>
            </w:r>
          </w:p>
        </w:tc>
      </w:tr>
    </w:tbl>
    <w:p>
      <w:pPr>
        <w:spacing w:before="80" w:after="0"/>
        <w:jc w:val="left"/>
      </w:pPr>
      <w:r>
        <w:rPr>
          <w:rFonts w:ascii="Arial" w:hAnsi="Arial" w:eastAsia="Arial"/>
          <w:i/>
          <w:color w:val="626B73"/>
          <w:sz w:val="14"/>
        </w:rPr>
        <w:t>Podstawa prawna: rozporządzenie Parlamentu Europejskiego i Rady (UE) 2016/679 (RODO), w szczególności art. 6, 12, 13 i 14, oraz właściwe przepisy prawa polskiego.</w:t>
      </w:r>
    </w:p>
    <w:sectPr w:rsidR="00FC693F" w:rsidRPr="0006063C" w:rsidSect="00034616">
      <w:headerReference w:type="default" r:id="rId9"/>
      <w:footerReference w:type="default" r:id="rId10"/>
      <w:pgSz w:w="11906" w:h="16838"/>
      <w:pgMar w:top="624" w:right="765" w:bottom="567" w:left="765" w:header="238" w:footer="23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Arial" w:hAnsi="Arial" w:eastAsia="Arial"/>
        <w:color w:val="626B73"/>
        <w:sz w:val="13"/>
      </w:rPr>
      <w:t>Wersja 1.0  |  obowiązuje od 29.07.2026  |  krajowy transport rzeczy</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Bdr>
        <w:bottom w:val="single" w:sz="5" w:space="1" w:color="8EA6BF"/>
      </w:pBdr>
    </w:pPr>
    <w:r>
      <w:rPr>
        <w:rFonts w:ascii="Arial" w:hAnsi="Arial" w:eastAsia="Arial"/>
        <w:b/>
        <w:color w:val="173B66"/>
        <w:sz w:val="14"/>
      </w:rPr>
      <w:t>KLAUZULA INFORMACYJNA RODO</w:t>
    </w:r>
    <w:r>
      <w:rPr>
        <w:rFonts w:ascii="Arial" w:hAnsi="Arial" w:eastAsia="Arial"/>
        <w:b/>
        <w:color w:val="626B73"/>
        <w:sz w:val="14"/>
      </w:rPr>
      <w:t xml:space="preserve">                                              ASAP SOLUTIONS | ALAN KOPRAS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view w:val="prin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pPr>
    <w:rPr>
      <w:rFonts w:ascii="Arial" w:hAnsi="Arial" w:eastAsia="Arial"/>
      <w:sz w:val="1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Klauzula informacyjna RODO dla klientów i osób kontaktowych</dc:title>
  <dc:subject>ASAP Solutions - krajowy transport rzeczy</dc:subject>
  <dc:creator>Alan Kopras</dc:creator>
  <cp:keywords>RODO, klauzula informacyjna, transport, klient, nadawca, odbiorca</cp:keywords>
  <dc:description>Wersja 1.0</dc:description>
  <cp:lastModifiedBy/>
  <cp:revision>1</cp:revision>
  <dcterms:created xsi:type="dcterms:W3CDTF">2013-12-23T23:15:00Z</dcterms:created>
  <dcterms:modified xsi:type="dcterms:W3CDTF">2013-12-23T23:15:00Z</dcterms:modified>
  <cp:category/>
</cp:coreProperties>
</file>