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dxa" w:w="10376"/>
        <w:jc w:val="center"/>
        <w:tblLook w:firstColumn="1" w:firstRow="1" w:lastColumn="0" w:lastRow="0" w:noHBand="0" w:noVBand="1" w:val="04A0"/>
        <w:tblLayout w:type="fixed"/>
      </w:tblPr>
      <w:tblGrid>
        <w:gridCol w:w="5188"/>
        <w:gridCol w:w="5188"/>
      </w:tblGrid>
      <w:tr>
        <w:tc>
          <w:tcPr>
            <w:tcW w:type="dxa" w:w="7654"/>
            <w:vMerge w:val="restart"/>
            <w:shd w:fill="173B66"/>
            <w:tcMar>
              <w:top w:w="120" w:type="dxa"/>
              <w:start w:w="130" w:type="dxa"/>
              <w:bottom w:w="110" w:type="dxa"/>
              <w:end w:w="120" w:type="dxa"/>
            </w:tcMar>
            <w:tcBorders>
              <w:top w:val="single" w:sz="8" w:color="173B66"/>
              <w:left w:val="single" w:sz="8" w:color="173B66"/>
              <w:bottom w:val="single" w:sz="8" w:color="173B66"/>
              <w:right w:val="single" w:sz="8" w:color="173B66"/>
            </w:tcBorders>
          </w:tcPr>
          <w:p>
            <w:pPr>
              <w:spacing w:after="0" w:line="259" w:lineRule="auto"/>
            </w:pPr>
            <w:r>
              <w:rPr>
                <w:rFonts w:ascii="Arial" w:hAnsi="Arial" w:eastAsia="Arial"/>
                <w:b/>
                <w:color w:val="FFFFFF"/>
                <w:sz w:val="31"/>
              </w:rPr>
              <w:t>OGÓLNE WARUNKI REALIZACJI</w:t>
              <w:br/>
              <w:t>KRAJOWEGO TRANSPORTU RZECZY</w:t>
            </w:r>
          </w:p>
        </w:tc>
        <w:tc>
          <w:tcPr>
            <w:tcW w:type="dxa" w:w="2721"/>
            <w:shd w:fill="DCE7F3"/>
            <w:tcMar>
              <w:top w:w="85" w:type="dxa"/>
              <w:start w:w="110" w:type="dxa"/>
              <w:bottom w:w="75" w:type="dxa"/>
              <w:end w:w="90" w:type="dxa"/>
            </w:tcMar>
            <w:tcBorders>
              <w:top w:val="single" w:sz="6" w:color="8EA6BF"/>
              <w:left w:val="single" w:sz="6" w:color="8EA6BF"/>
              <w:bottom w:val="single" w:sz="6" w:color="8EA6BF"/>
              <w:right w:val="single" w:sz="6" w:color="8EA6BF"/>
            </w:tcBorders>
          </w:tcPr>
          <w:p>
            <w:pPr>
              <w:spacing w:after="0" w:line="240" w:lineRule="auto"/>
            </w:pPr>
            <w:r>
              <w:rPr>
                <w:rFonts w:ascii="Arial" w:hAnsi="Arial" w:eastAsia="Arial"/>
                <w:b/>
                <w:color w:val="626B73"/>
                <w:sz w:val="15"/>
              </w:rPr>
              <w:t>WERSJA DOKUMENTU</w:t>
            </w:r>
            <w:r>
              <w:br/>
            </w:r>
            <w:r>
              <w:rPr>
                <w:rFonts w:ascii="Arial" w:hAnsi="Arial" w:eastAsia="Arial"/>
                <w:b/>
                <w:color w:val="253444"/>
                <w:sz w:val="18"/>
              </w:rPr>
              <w:t>1.1</w:t>
            </w:r>
          </w:p>
        </w:tc>
      </w:tr>
      <w:tr>
        <w:tc>
          <w:tcPr>
            <w:tcW w:type="dxa" w:w="7654"/>
            <w:vMerge/>
          </w:tcPr>
          <w:p/>
        </w:tc>
        <w:tc>
          <w:tcPr>
            <w:tcW w:type="dxa" w:w="2721"/>
            <w:shd w:fill="FFFFFF"/>
            <w:tcMar>
              <w:top w:w="85" w:type="dxa"/>
              <w:start w:w="110" w:type="dxa"/>
              <w:bottom w:w="75" w:type="dxa"/>
              <w:end w:w="90" w:type="dxa"/>
            </w:tcMar>
            <w:tcBorders>
              <w:top w:val="single" w:sz="6" w:color="8EA6BF"/>
              <w:left w:val="single" w:sz="6" w:color="8EA6BF"/>
              <w:bottom w:val="single" w:sz="6" w:color="8EA6BF"/>
              <w:right w:val="single" w:sz="6" w:color="8EA6BF"/>
            </w:tcBorders>
          </w:tcPr>
          <w:p>
            <w:pPr>
              <w:spacing w:after="0" w:line="240" w:lineRule="auto"/>
            </w:pPr>
            <w:r>
              <w:rPr>
                <w:rFonts w:ascii="Arial" w:hAnsi="Arial" w:eastAsia="Arial"/>
                <w:b/>
                <w:color w:val="626B73"/>
                <w:sz w:val="15"/>
              </w:rPr>
              <w:t>OBOWIĄZUJE OD</w:t>
            </w:r>
            <w:r>
              <w:br/>
            </w:r>
            <w:r>
              <w:rPr>
                <w:rFonts w:ascii="Arial" w:hAnsi="Arial" w:eastAsia="Arial"/>
                <w:b/>
                <w:color w:val="253444"/>
                <w:sz w:val="18"/>
              </w:rPr>
              <w:t>29/07/2026</w:t>
            </w:r>
          </w:p>
        </w:tc>
      </w:tr>
    </w:tbl>
    <w:p>
      <w:pPr>
        <w:spacing w:before="100" w:after="20"/>
        <w:keepNext/>
      </w:pPr>
      <w:r>
        <w:rPr>
          <w:rFonts w:ascii="Arial" w:hAnsi="Arial" w:eastAsia="Arial"/>
          <w:b/>
          <w:color w:val="173B66"/>
          <w:sz w:val="20"/>
        </w:rPr>
        <w:t>DANE PRZEWOŹNIKA</w:t>
      </w:r>
    </w:p>
    <w:tbl>
      <w:tblPr>
        <w:tblW w:type="dxa" w:w="10376"/>
        <w:jc w:val="center"/>
        <w:tblLook w:firstColumn="1" w:firstRow="1" w:lastColumn="0" w:lastRow="0" w:noHBand="0" w:noVBand="1" w:val="04A0"/>
        <w:tblLayout w:type="fixed"/>
      </w:tblPr>
      <w:tblGrid>
        <w:gridCol w:w="5188"/>
        <w:gridCol w:w="5188"/>
      </w:tblGrid>
      <w:tr>
        <w:tc>
          <w:tcPr>
            <w:tcW w:type="dxa" w:w="5188"/>
            <w:vAlign w:val="center"/>
            <w:shd w:fill="FFFFFF"/>
            <w:tcMar>
              <w:top w:w="55" w:type="dxa"/>
              <w:start w:w="75" w:type="dxa"/>
              <w:bottom w:w="55" w:type="dxa"/>
              <w:end w:w="75" w:type="dxa"/>
            </w:tcMar>
            <w:tcBorders>
              <w:top w:val="single" w:sz="5" w:color="8EA6BF"/>
              <w:left w:val="single" w:sz="5" w:color="8EA6BF"/>
              <w:bottom w:val="single" w:sz="5" w:color="8EA6BF"/>
              <w:right w:val="single" w:sz="5" w:color="8EA6BF"/>
            </w:tcBorders>
          </w:tcPr>
          <w:p>
            <w:pPr>
              <w:spacing w:after="0" w:line="240" w:lineRule="auto"/>
            </w:pPr>
            <w:r>
              <w:rPr>
                <w:rFonts w:ascii="Arial" w:hAnsi="Arial" w:eastAsia="Arial"/>
                <w:b/>
                <w:color w:val="626B73"/>
                <w:sz w:val="14"/>
              </w:rPr>
              <w:t>PRZEWOŹNIK</w:t>
            </w:r>
            <w:r>
              <w:br/>
            </w:r>
            <w:r>
              <w:rPr>
                <w:rFonts w:ascii="Arial" w:hAnsi="Arial" w:eastAsia="Arial"/>
                <w:b/>
                <w:color w:val="253444"/>
                <w:sz w:val="18"/>
              </w:rPr>
              <w:t>Alan Kopras, prowadzący działalność gospodarczą pod marką ASAP Solutions</w:t>
            </w:r>
          </w:p>
        </w:tc>
        <w:tc>
          <w:tcPr>
            <w:tcW w:type="dxa" w:w="5188"/>
            <w:vAlign w:val="center"/>
            <w:shd w:fill="FFFFFF"/>
            <w:tcMar>
              <w:top w:w="55" w:type="dxa"/>
              <w:start w:w="75" w:type="dxa"/>
              <w:bottom w:w="55" w:type="dxa"/>
              <w:end w:w="75" w:type="dxa"/>
            </w:tcMar>
            <w:tcBorders>
              <w:top w:val="single" w:sz="5" w:color="8EA6BF"/>
              <w:left w:val="single" w:sz="5" w:color="8EA6BF"/>
              <w:bottom w:val="single" w:sz="5" w:color="8EA6BF"/>
              <w:right w:val="single" w:sz="5" w:color="8EA6BF"/>
            </w:tcBorders>
          </w:tcPr>
          <w:p>
            <w:pPr>
              <w:spacing w:after="0" w:line="240" w:lineRule="auto"/>
            </w:pPr>
            <w:r>
              <w:rPr>
                <w:rFonts w:ascii="Arial" w:hAnsi="Arial" w:eastAsia="Arial"/>
                <w:b/>
                <w:color w:val="626B73"/>
                <w:sz w:val="14"/>
              </w:rPr>
              <w:t>MARKA HANDLOWA</w:t>
            </w:r>
            <w:r>
              <w:br/>
            </w:r>
            <w:r>
              <w:rPr>
                <w:rFonts w:ascii="Arial" w:hAnsi="Arial" w:eastAsia="Arial"/>
                <w:b/>
                <w:color w:val="253444"/>
                <w:sz w:val="18"/>
              </w:rPr>
              <w:t>ASAP Solutions</w:t>
            </w:r>
          </w:p>
        </w:tc>
      </w:tr>
      <w:tr>
        <w:tc>
          <w:tcPr>
            <w:tcW w:type="dxa" w:w="5188"/>
            <w:vAlign w:val="center"/>
            <w:shd w:fill="F5F8FB"/>
            <w:tcMar>
              <w:top w:w="55" w:type="dxa"/>
              <w:start w:w="75" w:type="dxa"/>
              <w:bottom w:w="55" w:type="dxa"/>
              <w:end w:w="75" w:type="dxa"/>
            </w:tcMar>
            <w:tcBorders>
              <w:top w:val="single" w:sz="5" w:color="8EA6BF"/>
              <w:left w:val="single" w:sz="5" w:color="8EA6BF"/>
              <w:bottom w:val="single" w:sz="5" w:color="8EA6BF"/>
              <w:right w:val="single" w:sz="5" w:color="8EA6BF"/>
            </w:tcBorders>
          </w:tcPr>
          <w:p>
            <w:pPr>
              <w:spacing w:after="0" w:line="240" w:lineRule="auto"/>
            </w:pPr>
            <w:r>
              <w:rPr>
                <w:rFonts w:ascii="Arial" w:hAnsi="Arial" w:eastAsia="Arial"/>
                <w:b/>
                <w:color w:val="626B73"/>
                <w:sz w:val="14"/>
              </w:rPr>
              <w:t>NIP / REGON</w:t>
            </w:r>
            <w:r>
              <w:br/>
            </w:r>
            <w:r>
              <w:rPr>
                <w:rFonts w:ascii="Arial" w:hAnsi="Arial" w:eastAsia="Arial"/>
                <w:b/>
                <w:color w:val="253444"/>
                <w:sz w:val="18"/>
              </w:rPr>
              <w:t>6412575405 / 543681420</w:t>
            </w:r>
          </w:p>
        </w:tc>
        <w:tc>
          <w:tcPr>
            <w:tcW w:type="dxa" w:w="5188"/>
            <w:vAlign w:val="center"/>
            <w:shd w:fill="F5F8FB"/>
            <w:tcMar>
              <w:top w:w="55" w:type="dxa"/>
              <w:start w:w="75" w:type="dxa"/>
              <w:bottom w:w="55" w:type="dxa"/>
              <w:end w:w="75" w:type="dxa"/>
            </w:tcMar>
            <w:tcBorders>
              <w:top w:val="single" w:sz="5" w:color="8EA6BF"/>
              <w:left w:val="single" w:sz="5" w:color="8EA6BF"/>
              <w:bottom w:val="single" w:sz="5" w:color="8EA6BF"/>
              <w:right w:val="single" w:sz="5" w:color="8EA6BF"/>
            </w:tcBorders>
          </w:tcPr>
          <w:p>
            <w:pPr>
              <w:spacing w:after="0" w:line="240" w:lineRule="auto"/>
            </w:pPr>
            <w:r>
              <w:rPr>
                <w:rFonts w:ascii="Arial" w:hAnsi="Arial" w:eastAsia="Arial"/>
                <w:b/>
                <w:color w:val="626B73"/>
                <w:sz w:val="14"/>
              </w:rPr>
              <w:t>ADRES DO DORĘCZEŃ</w:t>
            </w:r>
            <w:r>
              <w:br/>
            </w:r>
            <w:r>
              <w:rPr>
                <w:rFonts w:ascii="Arial" w:hAnsi="Arial" w:eastAsia="Arial"/>
                <w:b/>
                <w:color w:val="253444"/>
                <w:sz w:val="18"/>
              </w:rPr>
              <w:t>ul. Podlas 3/26, 41-712 Ruda Śląska, Polska</w:t>
            </w:r>
          </w:p>
        </w:tc>
      </w:tr>
      <w:tr>
        <w:tc>
          <w:tcPr>
            <w:tcW w:type="dxa" w:w="5188"/>
            <w:vAlign w:val="center"/>
            <w:shd w:fill="FFFFFF"/>
            <w:tcMar>
              <w:top w:w="55" w:type="dxa"/>
              <w:start w:w="75" w:type="dxa"/>
              <w:bottom w:w="55" w:type="dxa"/>
              <w:end w:w="75" w:type="dxa"/>
            </w:tcMar>
            <w:tcBorders>
              <w:top w:val="single" w:sz="5" w:color="8EA6BF"/>
              <w:left w:val="single" w:sz="5" w:color="8EA6BF"/>
              <w:bottom w:val="single" w:sz="5" w:color="8EA6BF"/>
              <w:right w:val="single" w:sz="5" w:color="8EA6BF"/>
            </w:tcBorders>
          </w:tcPr>
          <w:p>
            <w:pPr>
              <w:spacing w:after="0" w:line="240" w:lineRule="auto"/>
            </w:pPr>
            <w:r>
              <w:rPr>
                <w:rFonts w:ascii="Arial" w:hAnsi="Arial" w:eastAsia="Arial"/>
                <w:b/>
                <w:color w:val="626B73"/>
                <w:sz w:val="14"/>
              </w:rPr>
              <w:t>TELEFON</w:t>
            </w:r>
            <w:r>
              <w:br/>
            </w:r>
            <w:r>
              <w:rPr>
                <w:rFonts w:ascii="Arial" w:hAnsi="Arial" w:eastAsia="Arial"/>
                <w:b/>
                <w:color w:val="253444"/>
                <w:sz w:val="18"/>
              </w:rPr>
              <w:t>+48 668 154 722</w:t>
            </w:r>
          </w:p>
        </w:tc>
        <w:tc>
          <w:tcPr>
            <w:tcW w:type="dxa" w:w="5188"/>
            <w:vAlign w:val="center"/>
            <w:shd w:fill="FFFFFF"/>
            <w:tcMar>
              <w:top w:w="55" w:type="dxa"/>
              <w:start w:w="75" w:type="dxa"/>
              <w:bottom w:w="55" w:type="dxa"/>
              <w:end w:w="75" w:type="dxa"/>
            </w:tcMar>
            <w:tcBorders>
              <w:top w:val="single" w:sz="5" w:color="8EA6BF"/>
              <w:left w:val="single" w:sz="5" w:color="8EA6BF"/>
              <w:bottom w:val="single" w:sz="5" w:color="8EA6BF"/>
              <w:right w:val="single" w:sz="5" w:color="8EA6BF"/>
            </w:tcBorders>
          </w:tcPr>
          <w:p>
            <w:pPr>
              <w:spacing w:after="0" w:line="240" w:lineRule="auto"/>
            </w:pPr>
            <w:r>
              <w:rPr>
                <w:rFonts w:ascii="Arial" w:hAnsi="Arial" w:eastAsia="Arial"/>
                <w:b/>
                <w:color w:val="626B73"/>
                <w:sz w:val="14"/>
              </w:rPr>
              <w:t>E-MAIL DO ZLECEŃ</w:t>
            </w:r>
            <w:r>
              <w:br/>
            </w:r>
            <w:r>
              <w:rPr>
                <w:rFonts w:ascii="Arial" w:hAnsi="Arial" w:eastAsia="Arial"/>
                <w:b/>
                <w:color w:val="253444"/>
                <w:sz w:val="18"/>
              </w:rPr>
              <w:t>alan.kopras@pm.me</w:t>
            </w:r>
          </w:p>
        </w:tc>
      </w:tr>
      <w:tr>
        <w:tc>
          <w:tcPr>
            <w:tcW w:type="dxa" w:w="5188"/>
            <w:vAlign w:val="center"/>
            <w:shd w:fill="F5F8FB"/>
            <w:tcMar>
              <w:top w:w="55" w:type="dxa"/>
              <w:start w:w="75" w:type="dxa"/>
              <w:bottom w:w="55" w:type="dxa"/>
              <w:end w:w="75" w:type="dxa"/>
            </w:tcMar>
            <w:tcBorders>
              <w:top w:val="single" w:sz="5" w:color="8EA6BF"/>
              <w:left w:val="single" w:sz="5" w:color="8EA6BF"/>
              <w:bottom w:val="single" w:sz="5" w:color="8EA6BF"/>
              <w:right w:val="single" w:sz="5" w:color="8EA6BF"/>
            </w:tcBorders>
          </w:tcPr>
          <w:p>
            <w:pPr>
              <w:spacing w:after="0" w:line="240" w:lineRule="auto"/>
            </w:pPr>
            <w:r>
              <w:rPr>
                <w:rFonts w:ascii="Arial" w:hAnsi="Arial" w:eastAsia="Arial"/>
                <w:b/>
                <w:color w:val="626B73"/>
                <w:sz w:val="14"/>
              </w:rPr>
              <w:t>E-MAIL DO REKLAMACJI</w:t>
            </w:r>
            <w:r>
              <w:br/>
            </w:r>
            <w:r>
              <w:rPr>
                <w:rFonts w:ascii="Arial" w:hAnsi="Arial" w:eastAsia="Arial"/>
                <w:b/>
                <w:color w:val="253444"/>
                <w:sz w:val="18"/>
              </w:rPr>
              <w:t>alan.kopras@pm.me</w:t>
            </w:r>
          </w:p>
        </w:tc>
        <w:tc>
          <w:tcPr>
            <w:tcW w:type="dxa" w:w="5188"/>
            <w:vAlign w:val="center"/>
            <w:shd w:fill="F5F8FB"/>
            <w:tcMar>
              <w:top w:w="55" w:type="dxa"/>
              <w:start w:w="75" w:type="dxa"/>
              <w:bottom w:w="55" w:type="dxa"/>
              <w:end w:w="75" w:type="dxa"/>
            </w:tcMar>
            <w:tcBorders>
              <w:top w:val="single" w:sz="5" w:color="8EA6BF"/>
              <w:left w:val="single" w:sz="5" w:color="8EA6BF"/>
              <w:bottom w:val="single" w:sz="5" w:color="8EA6BF"/>
              <w:right w:val="single" w:sz="5" w:color="8EA6BF"/>
            </w:tcBorders>
          </w:tcPr>
          <w:p>
            <w:pPr>
              <w:spacing w:after="0" w:line="240" w:lineRule="auto"/>
            </w:pPr>
            <w:r>
              <w:rPr>
                <w:rFonts w:ascii="Arial" w:hAnsi="Arial" w:eastAsia="Arial"/>
                <w:b/>
                <w:color w:val="626B73"/>
                <w:sz w:val="14"/>
              </w:rPr>
              <w:t>UBEZPIECZENIE</w:t>
            </w:r>
            <w:r>
              <w:br/>
            </w:r>
            <w:r>
              <w:rPr>
                <w:rFonts w:ascii="Arial" w:hAnsi="Arial" w:eastAsia="Arial"/>
                <w:b/>
                <w:color w:val="253444"/>
                <w:sz w:val="18"/>
              </w:rPr>
              <w:t>Odpowiedzialność cywilna przewoźnika - zgodnie z aktualną polisą OCP</w:t>
            </w:r>
          </w:p>
        </w:tc>
      </w:tr>
    </w:tbl>
    <w:tbl>
      <w:tblPr>
        <w:tblW w:type="dxa" w:w="10376"/>
        <w:jc w:val="center"/>
        <w:tblLook w:firstColumn="1" w:firstRow="1" w:lastColumn="0" w:lastRow="0" w:noHBand="0" w:noVBand="1" w:val="04A0"/>
        <w:tblLayout w:type="fixed"/>
      </w:tblPr>
      <w:tblGrid>
        <w:gridCol w:w="10376"/>
      </w:tblGrid>
      <w:tr>
        <w:tc>
          <w:tcPr>
            <w:tcW w:type="dxa" w:w="10376"/>
            <w:shd w:fill="173B66"/>
            <w:tcMar>
              <w:top w:w="65" w:type="dxa"/>
              <w:start w:w="100" w:type="dxa"/>
              <w:bottom w:w="65" w:type="dxa"/>
              <w:end w:w="100" w:type="dxa"/>
            </w:tcMar>
            <w:tcBorders>
              <w:top w:val="single" w:sz="8" w:color="173B66"/>
              <w:left w:val="single" w:sz="8" w:color="173B66"/>
              <w:bottom w:val="single" w:sz="8" w:color="173B66"/>
              <w:right w:val="single" w:sz="8" w:color="173B66"/>
            </w:tcBorders>
          </w:tcPr>
          <w:p>
            <w:pPr>
              <w:spacing w:after="0"/>
              <w:keepNext/>
            </w:pPr>
            <w:r>
              <w:rPr>
                <w:rFonts w:ascii="Arial" w:hAnsi="Arial" w:eastAsia="Arial"/>
                <w:b/>
                <w:color w:val="FFFFFF"/>
                <w:sz w:val="20"/>
              </w:rPr>
              <w:t>1. ZAKRES, DEFINICJE I ZAWARCIE UMOWY</w:t>
            </w:r>
          </w:p>
        </w:tc>
      </w:tr>
    </w:tbl>
    <w:p>
      <w:pPr>
        <w:spacing w:before="64" w:after="12" w:line="240" w:lineRule="auto"/>
        <w:keepNext/>
        <w:keepLines/>
      </w:pPr>
      <w:r>
        <w:rPr>
          <w:rFonts w:ascii="Arial" w:hAnsi="Arial" w:eastAsia="Arial"/>
          <w:b/>
          <w:color w:val="173B66"/>
          <w:sz w:val="19"/>
        </w:rPr>
        <w:t>1.1. Zakres</w:t>
      </w:r>
    </w:p>
    <w:p>
      <w:pPr>
        <w:spacing w:before="0" w:after="44" w:line="247" w:lineRule="auto"/>
        <w:keepLines/>
        <w:widowControl/>
      </w:pPr>
      <w:r>
        <w:rPr>
          <w:rFonts w:ascii="Arial" w:hAnsi="Arial" w:eastAsia="Arial"/>
          <w:i w:val="0"/>
          <w:color w:val="253444"/>
          <w:sz w:val="17"/>
        </w:rPr>
        <w:t>Warunki dotyczą odpłatnego krajowego przewozu rzeczy w transporcie drogowym oraz czynności dodatkowych wyraźnie wskazanych w potwierdzeniu zlecenia. Nie obejmują przewozu zwierząt ani przewozów międzynarodowych.</w:t>
      </w:r>
    </w:p>
    <w:p>
      <w:pPr>
        <w:spacing w:before="64" w:after="12" w:line="240" w:lineRule="auto"/>
        <w:keepNext/>
        <w:keepLines/>
      </w:pPr>
      <w:r>
        <w:rPr>
          <w:rFonts w:ascii="Arial" w:hAnsi="Arial" w:eastAsia="Arial"/>
          <w:b/>
          <w:color w:val="173B66"/>
          <w:sz w:val="19"/>
        </w:rPr>
        <w:t>1.2. Definicje</w:t>
      </w:r>
    </w:p>
    <w:p>
      <w:pPr>
        <w:spacing w:before="0" w:after="44" w:line="247" w:lineRule="auto"/>
        <w:keepLines/>
        <w:widowControl/>
      </w:pPr>
      <w:r>
        <w:rPr>
          <w:rFonts w:ascii="Arial" w:hAnsi="Arial" w:eastAsia="Arial"/>
          <w:i w:val="0"/>
          <w:color w:val="253444"/>
          <w:sz w:val="17"/>
        </w:rPr>
        <w:t>Zleceniodawca to osoba zawierająca umowę z przewoźnikiem i przekazująca dane zlecenia. Nadawca wydaje przesyłkę do przewozu, odbiorca jest uprawniony do jej odbioru, a płatnik jest wskazany w potwierdzeniu zlecenia. Jeżeli nie wskazano innego płatnika, płatnikiem jest zleceniodawca.</w:t>
      </w:r>
    </w:p>
    <w:p>
      <w:pPr>
        <w:spacing w:before="64" w:after="12" w:line="240" w:lineRule="auto"/>
        <w:keepNext/>
        <w:keepLines/>
      </w:pPr>
      <w:r>
        <w:rPr>
          <w:rFonts w:ascii="Arial" w:hAnsi="Arial" w:eastAsia="Arial"/>
          <w:b/>
          <w:color w:val="173B66"/>
          <w:sz w:val="19"/>
        </w:rPr>
        <w:t>1.3. Dokumenty i pierwszeństwo ustaleń</w:t>
      </w:r>
    </w:p>
    <w:p>
      <w:pPr>
        <w:spacing w:before="0" w:after="44" w:line="247" w:lineRule="auto"/>
        <w:keepLines/>
        <w:widowControl/>
      </w:pPr>
      <w:r>
        <w:rPr>
          <w:rFonts w:ascii="Arial" w:hAnsi="Arial" w:eastAsia="Arial"/>
          <w:i w:val="0"/>
          <w:color w:val="253444"/>
          <w:sz w:val="17"/>
        </w:rPr>
        <w:t>Umowę tworzą: potwierdzenie konkretnego zlecenia, niniejsze warunki, list przewozowy oraz późniejsze uzgodnienia utrwalone na trwałym nośniku. Warunki wiążą, jeżeli zostały udostępnione przed zawarciem umowy w sposób umożliwiający ich zachowanie i odtworzenie. W razie sprzeczności pierwszeństwo ma indywidualne potwierdzenie zlecenia, a następnie bezwzględnie obowiązujące przepisy prawa.</w:t>
      </w:r>
    </w:p>
    <w:p>
      <w:pPr>
        <w:spacing w:before="64" w:after="12" w:line="240" w:lineRule="auto"/>
        <w:keepNext/>
        <w:keepLines/>
      </w:pPr>
      <w:r>
        <w:rPr>
          <w:rFonts w:ascii="Arial" w:hAnsi="Arial" w:eastAsia="Arial"/>
          <w:b/>
          <w:color w:val="173B66"/>
          <w:sz w:val="19"/>
        </w:rPr>
        <w:t>1.4. Zawarcie i wykonanie umowy</w:t>
      </w:r>
    </w:p>
    <w:p>
      <w:pPr>
        <w:spacing w:before="0" w:after="44" w:line="247" w:lineRule="auto"/>
        <w:keepLines/>
        <w:widowControl/>
      </w:pPr>
      <w:r>
        <w:rPr>
          <w:rFonts w:ascii="Arial" w:hAnsi="Arial" w:eastAsia="Arial"/>
          <w:i w:val="0"/>
          <w:color w:val="253444"/>
          <w:sz w:val="17"/>
        </w:rPr>
        <w:t>Umowa zostaje zawarta po zaakceptowaniu zlecenia przez przewoźnika i potwierdzeniu przez zleceniodawcę danych, ceny oraz warunków. Przewoźnik może wykonać usługę przez kierowcę, pracownika lub podwykonawcę działającego na jego rzecz, chyba że wyraźnie uzgodniono osobiste wykonanie; nie narusza to odpowiedzialności przewoźnika wynikającej z prawa.</w:t>
      </w:r>
    </w:p>
    <w:tbl>
      <w:tblPr>
        <w:tblW w:type="dxa" w:w="10376"/>
        <w:jc w:val="center"/>
        <w:tblLook w:firstColumn="1" w:firstRow="1" w:lastColumn="0" w:lastRow="0" w:noHBand="0" w:noVBand="1" w:val="04A0"/>
        <w:tblLayout w:type="fixed"/>
      </w:tblPr>
      <w:tblGrid>
        <w:gridCol w:w="10376"/>
      </w:tblGrid>
      <w:tr>
        <w:tc>
          <w:tcPr>
            <w:tcW w:type="dxa" w:w="10376"/>
            <w:shd w:fill="173B66"/>
            <w:tcMar>
              <w:top w:w="65" w:type="dxa"/>
              <w:start w:w="100" w:type="dxa"/>
              <w:bottom w:w="65" w:type="dxa"/>
              <w:end w:w="100" w:type="dxa"/>
            </w:tcMar>
            <w:tcBorders>
              <w:top w:val="single" w:sz="8" w:color="173B66"/>
              <w:left w:val="single" w:sz="8" w:color="173B66"/>
              <w:bottom w:val="single" w:sz="8" w:color="173B66"/>
              <w:right w:val="single" w:sz="8" w:color="173B66"/>
            </w:tcBorders>
          </w:tcPr>
          <w:p>
            <w:pPr>
              <w:spacing w:after="0"/>
              <w:keepNext/>
            </w:pPr>
            <w:r>
              <w:rPr>
                <w:rFonts w:ascii="Arial" w:hAnsi="Arial" w:eastAsia="Arial"/>
                <w:b/>
                <w:color w:val="FFFFFF"/>
                <w:sz w:val="20"/>
              </w:rPr>
              <w:t>2. DANE ZLECENIA I OBOWIĄZKI ZLECENIODAWCY</w:t>
            </w:r>
          </w:p>
        </w:tc>
      </w:tr>
    </w:tbl>
    <w:p>
      <w:pPr>
        <w:spacing w:before="64" w:after="12" w:line="240" w:lineRule="auto"/>
        <w:keepNext/>
        <w:keepLines/>
      </w:pPr>
      <w:r>
        <w:rPr>
          <w:rFonts w:ascii="Arial" w:hAnsi="Arial" w:eastAsia="Arial"/>
          <w:b/>
          <w:color w:val="173B66"/>
          <w:sz w:val="19"/>
        </w:rPr>
        <w:t>2.1. Pełne i prawdziwe dane</w:t>
      </w:r>
    </w:p>
    <w:p>
      <w:pPr>
        <w:spacing w:before="0" w:after="44" w:line="247" w:lineRule="auto"/>
        <w:keepLines/>
        <w:widowControl/>
      </w:pPr>
      <w:r>
        <w:rPr>
          <w:rFonts w:ascii="Arial" w:hAnsi="Arial" w:eastAsia="Arial"/>
          <w:i w:val="0"/>
          <w:color w:val="253444"/>
          <w:sz w:val="17"/>
        </w:rPr>
        <w:t>Zleceniodawca przekazuje prawidłowe adresy i kontakty, termin, liczbę sztuk, rzeczywiste wymiary i masę, sposób opakowania, deklarowaną wartość, szczególne wymagania oraz informacje o dojeździe, awizacji, schodach, windzie i osobach potrzebnych do załadunku lub rozładunku.</w:t>
      </w:r>
    </w:p>
    <w:p>
      <w:pPr>
        <w:spacing w:before="64" w:after="12" w:line="240" w:lineRule="auto"/>
        <w:keepNext/>
        <w:keepLines/>
      </w:pPr>
      <w:r>
        <w:rPr>
          <w:rFonts w:ascii="Arial" w:hAnsi="Arial" w:eastAsia="Arial"/>
          <w:b/>
          <w:color w:val="173B66"/>
          <w:sz w:val="19"/>
        </w:rPr>
        <w:t>2.2. Gotowość i dostęp</w:t>
      </w:r>
    </w:p>
    <w:p>
      <w:pPr>
        <w:spacing w:before="0" w:after="44" w:line="247" w:lineRule="auto"/>
        <w:keepLines/>
        <w:widowControl/>
      </w:pPr>
      <w:r>
        <w:rPr>
          <w:rFonts w:ascii="Arial" w:hAnsi="Arial" w:eastAsia="Arial"/>
          <w:i w:val="0"/>
          <w:color w:val="253444"/>
          <w:sz w:val="17"/>
        </w:rPr>
        <w:t>Przesyłka ma być gotowa w uzgodnionym czasie, a nadawca i odbiorca poinformowani o transporcie. Zleceniodawca zapewnia legalny i bezpieczny dostęp pojazdu oraz odpowiada za skutki nieprawdziwych lub niepełnych informacji w zakresie przewidzianym prawem.</w:t>
      </w:r>
    </w:p>
    <w:p>
      <w:pPr>
        <w:spacing w:before="64" w:after="12" w:line="240" w:lineRule="auto"/>
        <w:keepNext/>
        <w:keepLines/>
      </w:pPr>
      <w:r>
        <w:rPr>
          <w:rFonts w:ascii="Arial" w:hAnsi="Arial" w:eastAsia="Arial"/>
          <w:b/>
          <w:color w:val="173B66"/>
          <w:sz w:val="19"/>
        </w:rPr>
        <w:t>2.3. Weryfikacja</w:t>
      </w:r>
    </w:p>
    <w:p>
      <w:pPr>
        <w:spacing w:before="0" w:after="44" w:line="247" w:lineRule="auto"/>
        <w:keepLines/>
        <w:widowControl/>
      </w:pPr>
      <w:r>
        <w:rPr>
          <w:rFonts w:ascii="Arial" w:hAnsi="Arial" w:eastAsia="Arial"/>
          <w:i w:val="0"/>
          <w:color w:val="253444"/>
          <w:sz w:val="17"/>
        </w:rPr>
        <w:t>Przewoźnik może przed przyjęciem przesyłki sprawdzić jej liczbę, widoczny stan, opakowanie, wymiary, masę i zgodność z opisem oraz wykonać dokumentację fotograficzną. Wynik i zastrzeżenia mogą zostać wpisane do listu przewozowego lub protokołu.</w:t>
      </w:r>
    </w:p>
    <w:tbl>
      <w:tblPr>
        <w:tblW w:type="dxa" w:w="10376"/>
        <w:jc w:val="center"/>
        <w:tblLook w:firstColumn="1" w:firstRow="1" w:lastColumn="0" w:lastRow="0" w:noHBand="0" w:noVBand="1" w:val="04A0"/>
        <w:tblLayout w:type="fixed"/>
      </w:tblPr>
      <w:tblGrid>
        <w:gridCol w:w="10376"/>
      </w:tblGrid>
      <w:tr>
        <w:tc>
          <w:tcPr>
            <w:tcW w:type="dxa" w:w="10376"/>
            <w:shd w:fill="173B66"/>
            <w:tcMar>
              <w:top w:w="65" w:type="dxa"/>
              <w:start w:w="100" w:type="dxa"/>
              <w:bottom w:w="65" w:type="dxa"/>
              <w:end w:w="100" w:type="dxa"/>
            </w:tcMar>
            <w:tcBorders>
              <w:top w:val="single" w:sz="8" w:color="173B66"/>
              <w:left w:val="single" w:sz="8" w:color="173B66"/>
              <w:bottom w:val="single" w:sz="8" w:color="173B66"/>
              <w:right w:val="single" w:sz="8" w:color="173B66"/>
            </w:tcBorders>
          </w:tcPr>
          <w:p>
            <w:pPr>
              <w:spacing w:after="0"/>
              <w:keepNext/>
            </w:pPr>
            <w:r>
              <w:rPr>
                <w:rFonts w:ascii="Arial" w:hAnsi="Arial" w:eastAsia="Arial"/>
                <w:b/>
                <w:color w:val="FFFFFF"/>
                <w:sz w:val="20"/>
              </w:rPr>
              <w:t>3. CENA, PŁATNOŚĆ, OCZEKIWANIE I REZYGNACJA</w:t>
            </w:r>
          </w:p>
        </w:tc>
      </w:tr>
    </w:tbl>
    <w:p>
      <w:pPr>
        <w:spacing w:before="64" w:after="12" w:line="240" w:lineRule="auto"/>
        <w:keepNext/>
        <w:keepLines/>
      </w:pPr>
      <w:r>
        <w:rPr>
          <w:rFonts w:ascii="Arial" w:hAnsi="Arial" w:eastAsia="Arial"/>
          <w:b/>
          <w:color w:val="173B66"/>
          <w:sz w:val="19"/>
        </w:rPr>
        <w:t>3.1. Cena podstawowa</w:t>
      </w:r>
    </w:p>
    <w:p>
      <w:pPr>
        <w:spacing w:before="0" w:after="44" w:line="247" w:lineRule="auto"/>
        <w:keepLines/>
        <w:widowControl/>
      </w:pPr>
      <w:r>
        <w:rPr>
          <w:rFonts w:ascii="Arial" w:hAnsi="Arial" w:eastAsia="Arial"/>
          <w:i w:val="0"/>
          <w:color w:val="253444"/>
          <w:sz w:val="17"/>
        </w:rPr>
        <w:t>Cena i zakres usługi są wskazane w potwierdzeniu zlecenia. O ile nie zapisano inaczej, cena obejmuje przejazd, przyjęcie i wydanie przesyłki oraz standardowe zabezpieczenie jej w pojeździe. Nie obejmuje pakowania, demontażu, montażu, wnoszenia, znoszenia ani pracy dodatkowych osób.</w:t>
      </w:r>
    </w:p>
    <w:tbl>
      <w:tblPr>
        <w:tblW w:type="dxa" w:w="10376"/>
        <w:jc w:val="center"/>
        <w:tblLook w:firstColumn="1" w:firstRow="1" w:lastColumn="0" w:lastRow="0" w:noHBand="0" w:noVBand="1" w:val="04A0"/>
        <w:tblLayout w:type="fixed"/>
      </w:tblPr>
      <w:tblGrid>
        <w:gridCol w:w="3459"/>
        <w:gridCol w:w="3459"/>
        <w:gridCol w:w="3459"/>
      </w:tblGrid>
      <w:tr>
        <w:trPr>
          <w:cantSplit/>
          <w:tblHeader w:val="true"/>
        </w:trPr>
        <w:tc>
          <w:tcPr>
            <w:tcW w:type="dxa" w:w="2324"/>
            <w:vAlign w:val="center"/>
            <w:tcMar>
              <w:top w:w="55" w:type="dxa"/>
              <w:start w:w="65" w:type="dxa"/>
              <w:bottom w:w="55" w:type="dxa"/>
              <w:end w:w="65" w:type="dxa"/>
            </w:tcMar>
            <w:tcBorders>
              <w:top w:val="single" w:sz="5" w:color="8EA6BF"/>
              <w:left w:val="single" w:sz="5" w:color="8EA6BF"/>
              <w:bottom w:val="single" w:sz="5" w:color="8EA6BF"/>
              <w:right w:val="single" w:sz="5" w:color="8EA6BF"/>
            </w:tcBorders>
            <w:shd w:fill="DCE7F3"/>
          </w:tcPr>
          <w:p>
            <w:pPr>
              <w:spacing w:after="0" w:line="240" w:lineRule="auto"/>
            </w:pPr>
            <w:r>
              <w:rPr>
                <w:rFonts w:ascii="Arial" w:hAnsi="Arial" w:eastAsia="Arial"/>
                <w:b/>
                <w:color w:val="173B66"/>
                <w:sz w:val="16"/>
              </w:rPr>
              <w:t>Zdarzenie</w:t>
            </w:r>
          </w:p>
        </w:tc>
        <w:tc>
          <w:tcPr>
            <w:tcW w:type="dxa" w:w="4025"/>
            <w:vAlign w:val="center"/>
            <w:tcMar>
              <w:top w:w="55" w:type="dxa"/>
              <w:start w:w="65" w:type="dxa"/>
              <w:bottom w:w="55" w:type="dxa"/>
              <w:end w:w="65" w:type="dxa"/>
            </w:tcMar>
            <w:tcBorders>
              <w:top w:val="single" w:sz="5" w:color="8EA6BF"/>
              <w:left w:val="single" w:sz="5" w:color="8EA6BF"/>
              <w:bottom w:val="single" w:sz="5" w:color="8EA6BF"/>
              <w:right w:val="single" w:sz="5" w:color="8EA6BF"/>
            </w:tcBorders>
            <w:shd w:fill="DCE7F3"/>
          </w:tcPr>
          <w:p>
            <w:pPr>
              <w:spacing w:after="0" w:line="240" w:lineRule="auto"/>
            </w:pPr>
            <w:r>
              <w:rPr>
                <w:rFonts w:ascii="Arial" w:hAnsi="Arial" w:eastAsia="Arial"/>
                <w:b/>
                <w:color w:val="173B66"/>
                <w:sz w:val="16"/>
              </w:rPr>
              <w:t>Zasada</w:t>
            </w:r>
          </w:p>
        </w:tc>
        <w:tc>
          <w:tcPr>
            <w:tcW w:type="dxa" w:w="4025"/>
            <w:vAlign w:val="center"/>
            <w:tcMar>
              <w:top w:w="55" w:type="dxa"/>
              <w:start w:w="65" w:type="dxa"/>
              <w:bottom w:w="55" w:type="dxa"/>
              <w:end w:w="65" w:type="dxa"/>
            </w:tcMar>
            <w:tcBorders>
              <w:top w:val="single" w:sz="5" w:color="8EA6BF"/>
              <w:left w:val="single" w:sz="5" w:color="8EA6BF"/>
              <w:bottom w:val="single" w:sz="5" w:color="8EA6BF"/>
              <w:right w:val="single" w:sz="5" w:color="8EA6BF"/>
            </w:tcBorders>
            <w:shd w:fill="DCE7F3"/>
          </w:tcPr>
          <w:p>
            <w:pPr>
              <w:spacing w:after="0" w:line="240" w:lineRule="auto"/>
            </w:pPr>
            <w:r>
              <w:rPr>
                <w:rFonts w:ascii="Arial" w:hAnsi="Arial" w:eastAsia="Arial"/>
                <w:b/>
                <w:color w:val="173B66"/>
                <w:sz w:val="16"/>
              </w:rPr>
              <w:t>Rozliczenie standardowe</w:t>
            </w:r>
          </w:p>
        </w:tc>
      </w:tr>
      <w:tr>
        <w:trPr>
          <w:cantSplit/>
        </w:trPr>
        <w:tc>
          <w:tcPr>
            <w:tcW w:type="dxa" w:w="2324"/>
            <w:vAlign w:val="center"/>
            <w:tcMar>
              <w:top w:w="55" w:type="dxa"/>
              <w:start w:w="65" w:type="dxa"/>
              <w:bottom w:w="55" w:type="dxa"/>
              <w:end w:w="65" w:type="dxa"/>
            </w:tcMar>
            <w:tcBorders>
              <w:top w:val="single" w:sz="5" w:color="8EA6BF"/>
              <w:left w:val="single" w:sz="5" w:color="8EA6BF"/>
              <w:bottom w:val="single" w:sz="5" w:color="8EA6BF"/>
              <w:right w:val="single" w:sz="5" w:color="8EA6BF"/>
            </w:tcBorders>
          </w:tcPr>
          <w:p>
            <w:pPr>
              <w:spacing w:after="0" w:line="240" w:lineRule="auto"/>
            </w:pPr>
            <w:r>
              <w:rPr>
                <w:rFonts w:ascii="Arial" w:hAnsi="Arial" w:eastAsia="Arial"/>
                <w:color w:val="253444"/>
                <w:sz w:val="15"/>
              </w:rPr>
              <w:t>Oczekiwanie</w:t>
            </w:r>
          </w:p>
        </w:tc>
        <w:tc>
          <w:tcPr>
            <w:tcW w:type="dxa" w:w="4025"/>
            <w:vAlign w:val="center"/>
            <w:tcMar>
              <w:top w:w="55" w:type="dxa"/>
              <w:start w:w="65" w:type="dxa"/>
              <w:bottom w:w="55" w:type="dxa"/>
              <w:end w:w="65" w:type="dxa"/>
            </w:tcMar>
            <w:tcBorders>
              <w:top w:val="single" w:sz="5" w:color="8EA6BF"/>
              <w:left w:val="single" w:sz="5" w:color="8EA6BF"/>
              <w:bottom w:val="single" w:sz="5" w:color="8EA6BF"/>
              <w:right w:val="single" w:sz="5" w:color="8EA6BF"/>
            </w:tcBorders>
          </w:tcPr>
          <w:p>
            <w:pPr>
              <w:spacing w:after="0" w:line="240" w:lineRule="auto"/>
            </w:pPr>
            <w:r>
              <w:rPr>
                <w:rFonts w:ascii="Arial" w:hAnsi="Arial" w:eastAsia="Arial"/>
                <w:color w:val="253444"/>
                <w:sz w:val="15"/>
              </w:rPr>
              <w:t>Do 45 min przy załadunku i do 45 min przy rozładunku bez dopłaty.</w:t>
            </w:r>
          </w:p>
        </w:tc>
        <w:tc>
          <w:tcPr>
            <w:tcW w:type="dxa" w:w="4025"/>
            <w:vAlign w:val="center"/>
            <w:tcMar>
              <w:top w:w="55" w:type="dxa"/>
              <w:start w:w="65" w:type="dxa"/>
              <w:bottom w:w="55" w:type="dxa"/>
              <w:end w:w="65" w:type="dxa"/>
            </w:tcMar>
            <w:tcBorders>
              <w:top w:val="single" w:sz="5" w:color="8EA6BF"/>
              <w:left w:val="single" w:sz="5" w:color="8EA6BF"/>
              <w:bottom w:val="single" w:sz="5" w:color="8EA6BF"/>
              <w:right w:val="single" w:sz="5" w:color="8EA6BF"/>
            </w:tcBorders>
          </w:tcPr>
          <w:p>
            <w:pPr>
              <w:spacing w:after="0" w:line="240" w:lineRule="auto"/>
            </w:pPr>
            <w:r>
              <w:rPr>
                <w:rFonts w:ascii="Arial" w:hAnsi="Arial" w:eastAsia="Arial"/>
                <w:color w:val="253444"/>
                <w:sz w:val="15"/>
              </w:rPr>
              <w:t>60 zł brutto za każde rozpoczęte 30 min ponad limit.</w:t>
            </w:r>
          </w:p>
        </w:tc>
      </w:tr>
      <w:tr>
        <w:trPr>
          <w:cantSplit/>
        </w:trPr>
        <w:tc>
          <w:tcPr>
            <w:tcW w:type="dxa" w:w="2324"/>
            <w:vAlign w:val="center"/>
            <w:tcMar>
              <w:top w:w="55" w:type="dxa"/>
              <w:start w:w="65" w:type="dxa"/>
              <w:bottom w:w="55" w:type="dxa"/>
              <w:end w:w="65" w:type="dxa"/>
            </w:tcMar>
            <w:tcBorders>
              <w:top w:val="single" w:sz="5" w:color="8EA6BF"/>
              <w:left w:val="single" w:sz="5" w:color="8EA6BF"/>
              <w:bottom w:val="single" w:sz="5" w:color="8EA6BF"/>
              <w:right w:val="single" w:sz="5" w:color="8EA6BF"/>
            </w:tcBorders>
            <w:shd w:fill="F5F8FB"/>
          </w:tcPr>
          <w:p>
            <w:pPr>
              <w:spacing w:after="0" w:line="240" w:lineRule="auto"/>
            </w:pPr>
            <w:r>
              <w:rPr>
                <w:rFonts w:ascii="Arial" w:hAnsi="Arial" w:eastAsia="Arial"/>
                <w:color w:val="253444"/>
                <w:sz w:val="15"/>
              </w:rPr>
              <w:t>Zmiana trasy lub zakresu</w:t>
            </w:r>
          </w:p>
        </w:tc>
        <w:tc>
          <w:tcPr>
            <w:tcW w:type="dxa" w:w="4025"/>
            <w:vAlign w:val="center"/>
            <w:tcMar>
              <w:top w:w="55" w:type="dxa"/>
              <w:start w:w="65" w:type="dxa"/>
              <w:bottom w:w="55" w:type="dxa"/>
              <w:end w:w="65" w:type="dxa"/>
            </w:tcMar>
            <w:tcBorders>
              <w:top w:val="single" w:sz="5" w:color="8EA6BF"/>
              <w:left w:val="single" w:sz="5" w:color="8EA6BF"/>
              <w:bottom w:val="single" w:sz="5" w:color="8EA6BF"/>
              <w:right w:val="single" w:sz="5" w:color="8EA6BF"/>
            </w:tcBorders>
            <w:shd w:fill="F5F8FB"/>
          </w:tcPr>
          <w:p>
            <w:pPr>
              <w:spacing w:after="0" w:line="240" w:lineRule="auto"/>
            </w:pPr>
            <w:r>
              <w:rPr>
                <w:rFonts w:ascii="Arial" w:hAnsi="Arial" w:eastAsia="Arial"/>
                <w:color w:val="253444"/>
                <w:sz w:val="15"/>
              </w:rPr>
              <w:t>Wymaga uprzedniej akceptacji nowej ceny.</w:t>
            </w:r>
          </w:p>
        </w:tc>
        <w:tc>
          <w:tcPr>
            <w:tcW w:type="dxa" w:w="4025"/>
            <w:vAlign w:val="center"/>
            <w:tcMar>
              <w:top w:w="55" w:type="dxa"/>
              <w:start w:w="65" w:type="dxa"/>
              <w:bottom w:w="55" w:type="dxa"/>
              <w:end w:w="65" w:type="dxa"/>
            </w:tcMar>
            <w:tcBorders>
              <w:top w:val="single" w:sz="5" w:color="8EA6BF"/>
              <w:left w:val="single" w:sz="5" w:color="8EA6BF"/>
              <w:bottom w:val="single" w:sz="5" w:color="8EA6BF"/>
              <w:right w:val="single" w:sz="5" w:color="8EA6BF"/>
            </w:tcBorders>
            <w:shd w:fill="F5F8FB"/>
          </w:tcPr>
          <w:p>
            <w:pPr>
              <w:spacing w:after="0" w:line="240" w:lineRule="auto"/>
            </w:pPr>
            <w:r>
              <w:rPr>
                <w:rFonts w:ascii="Arial" w:hAnsi="Arial" w:eastAsia="Arial"/>
                <w:color w:val="253444"/>
                <w:sz w:val="15"/>
              </w:rPr>
              <w:t>Według uzgodnionej dopłaty przed wykonaniem zmiany.</w:t>
            </w:r>
          </w:p>
        </w:tc>
      </w:tr>
      <w:tr>
        <w:trPr>
          <w:cantSplit/>
        </w:trPr>
        <w:tc>
          <w:tcPr>
            <w:tcW w:type="dxa" w:w="2324"/>
            <w:vAlign w:val="center"/>
            <w:tcMar>
              <w:top w:w="55" w:type="dxa"/>
              <w:start w:w="65" w:type="dxa"/>
              <w:bottom w:w="55" w:type="dxa"/>
              <w:end w:w="65" w:type="dxa"/>
            </w:tcMar>
            <w:tcBorders>
              <w:top w:val="single" w:sz="5" w:color="8EA6BF"/>
              <w:left w:val="single" w:sz="5" w:color="8EA6BF"/>
              <w:bottom w:val="single" w:sz="5" w:color="8EA6BF"/>
              <w:right w:val="single" w:sz="5" w:color="8EA6BF"/>
            </w:tcBorders>
          </w:tcPr>
          <w:p>
            <w:pPr>
              <w:spacing w:after="0" w:line="240" w:lineRule="auto"/>
            </w:pPr>
            <w:r>
              <w:rPr>
                <w:rFonts w:ascii="Arial" w:hAnsi="Arial" w:eastAsia="Arial"/>
                <w:color w:val="253444"/>
                <w:sz w:val="15"/>
              </w:rPr>
              <w:t>Rezygnacja przed wyjazdem</w:t>
            </w:r>
          </w:p>
        </w:tc>
        <w:tc>
          <w:tcPr>
            <w:tcW w:type="dxa" w:w="4025"/>
            <w:vAlign w:val="center"/>
            <w:tcMar>
              <w:top w:w="55" w:type="dxa"/>
              <w:start w:w="65" w:type="dxa"/>
              <w:bottom w:w="55" w:type="dxa"/>
              <w:end w:w="65" w:type="dxa"/>
            </w:tcMar>
            <w:tcBorders>
              <w:top w:val="single" w:sz="5" w:color="8EA6BF"/>
              <w:left w:val="single" w:sz="5" w:color="8EA6BF"/>
              <w:bottom w:val="single" w:sz="5" w:color="8EA6BF"/>
              <w:right w:val="single" w:sz="5" w:color="8EA6BF"/>
            </w:tcBorders>
          </w:tcPr>
          <w:p>
            <w:pPr>
              <w:spacing w:after="0" w:line="240" w:lineRule="auto"/>
            </w:pPr>
            <w:r>
              <w:rPr>
                <w:rFonts w:ascii="Arial" w:hAnsi="Arial" w:eastAsia="Arial"/>
                <w:color w:val="253444"/>
                <w:sz w:val="15"/>
              </w:rPr>
              <w:t>Kierowca nie rozpoczął dojazdu.</w:t>
            </w:r>
          </w:p>
        </w:tc>
        <w:tc>
          <w:tcPr>
            <w:tcW w:type="dxa" w:w="4025"/>
            <w:vAlign w:val="center"/>
            <w:tcMar>
              <w:top w:w="55" w:type="dxa"/>
              <w:start w:w="65" w:type="dxa"/>
              <w:bottom w:w="55" w:type="dxa"/>
              <w:end w:w="65" w:type="dxa"/>
            </w:tcMar>
            <w:tcBorders>
              <w:top w:val="single" w:sz="5" w:color="8EA6BF"/>
              <w:left w:val="single" w:sz="5" w:color="8EA6BF"/>
              <w:bottom w:val="single" w:sz="5" w:color="8EA6BF"/>
              <w:right w:val="single" w:sz="5" w:color="8EA6BF"/>
            </w:tcBorders>
          </w:tcPr>
          <w:p>
            <w:pPr>
              <w:spacing w:after="0" w:line="240" w:lineRule="auto"/>
            </w:pPr>
            <w:r>
              <w:rPr>
                <w:rFonts w:ascii="Arial" w:hAnsi="Arial" w:eastAsia="Arial"/>
                <w:color w:val="253444"/>
                <w:sz w:val="15"/>
              </w:rPr>
              <w:t>Bez opłaty, o ile nie uzgodniono opłaty rezerwacyjnej.</w:t>
            </w:r>
          </w:p>
        </w:tc>
      </w:tr>
      <w:tr>
        <w:trPr>
          <w:cantSplit/>
        </w:trPr>
        <w:tc>
          <w:tcPr>
            <w:tcW w:type="dxa" w:w="2324"/>
            <w:vAlign w:val="center"/>
            <w:tcMar>
              <w:top w:w="55" w:type="dxa"/>
              <w:start w:w="65" w:type="dxa"/>
              <w:bottom w:w="55" w:type="dxa"/>
              <w:end w:w="65" w:type="dxa"/>
            </w:tcMar>
            <w:tcBorders>
              <w:top w:val="single" w:sz="5" w:color="8EA6BF"/>
              <w:left w:val="single" w:sz="5" w:color="8EA6BF"/>
              <w:bottom w:val="single" w:sz="5" w:color="8EA6BF"/>
              <w:right w:val="single" w:sz="5" w:color="8EA6BF"/>
            </w:tcBorders>
            <w:shd w:fill="F5F8FB"/>
          </w:tcPr>
          <w:p>
            <w:pPr>
              <w:spacing w:after="0" w:line="240" w:lineRule="auto"/>
            </w:pPr>
            <w:r>
              <w:rPr>
                <w:rFonts w:ascii="Arial" w:hAnsi="Arial" w:eastAsia="Arial"/>
                <w:color w:val="253444"/>
                <w:sz w:val="15"/>
              </w:rPr>
              <w:t>Rezygnacja po wyjeździe</w:t>
            </w:r>
          </w:p>
        </w:tc>
        <w:tc>
          <w:tcPr>
            <w:tcW w:type="dxa" w:w="4025"/>
            <w:vAlign w:val="center"/>
            <w:tcMar>
              <w:top w:w="55" w:type="dxa"/>
              <w:start w:w="65" w:type="dxa"/>
              <w:bottom w:w="55" w:type="dxa"/>
              <w:end w:w="65" w:type="dxa"/>
            </w:tcMar>
            <w:tcBorders>
              <w:top w:val="single" w:sz="5" w:color="8EA6BF"/>
              <w:left w:val="single" w:sz="5" w:color="8EA6BF"/>
              <w:bottom w:val="single" w:sz="5" w:color="8EA6BF"/>
              <w:right w:val="single" w:sz="5" w:color="8EA6BF"/>
            </w:tcBorders>
            <w:shd w:fill="F5F8FB"/>
          </w:tcPr>
          <w:p>
            <w:pPr>
              <w:spacing w:after="0" w:line="240" w:lineRule="auto"/>
            </w:pPr>
            <w:r>
              <w:rPr>
                <w:rFonts w:ascii="Arial" w:hAnsi="Arial" w:eastAsia="Arial"/>
                <w:color w:val="253444"/>
                <w:sz w:val="15"/>
              </w:rPr>
              <w:t>Kierowca rozpoczął dojazd, ale nie dotarł na miejsce.</w:t>
            </w:r>
          </w:p>
        </w:tc>
        <w:tc>
          <w:tcPr>
            <w:tcW w:type="dxa" w:w="4025"/>
            <w:vAlign w:val="center"/>
            <w:tcMar>
              <w:top w:w="55" w:type="dxa"/>
              <w:start w:w="65" w:type="dxa"/>
              <w:bottom w:w="55" w:type="dxa"/>
              <w:end w:w="65" w:type="dxa"/>
            </w:tcMar>
            <w:tcBorders>
              <w:top w:val="single" w:sz="5" w:color="8EA6BF"/>
              <w:left w:val="single" w:sz="5" w:color="8EA6BF"/>
              <w:bottom w:val="single" w:sz="5" w:color="8EA6BF"/>
              <w:right w:val="single" w:sz="5" w:color="8EA6BF"/>
            </w:tcBorders>
            <w:shd w:fill="F5F8FB"/>
          </w:tcPr>
          <w:p>
            <w:pPr>
              <w:spacing w:after="0" w:line="240" w:lineRule="auto"/>
            </w:pPr>
            <w:r>
              <w:rPr>
                <w:rFonts w:ascii="Arial" w:hAnsi="Arial" w:eastAsia="Arial"/>
                <w:color w:val="253444"/>
                <w:sz w:val="15"/>
              </w:rPr>
              <w:t>2,00 zł/km + 60 zł za rozpoczętą godzinę; limit: 50% ceny zlecenia.</w:t>
            </w:r>
          </w:p>
        </w:tc>
      </w:tr>
      <w:tr>
        <w:trPr>
          <w:cantSplit/>
        </w:trPr>
        <w:tc>
          <w:tcPr>
            <w:tcW w:type="dxa" w:w="2324"/>
            <w:vAlign w:val="center"/>
            <w:tcMar>
              <w:top w:w="55" w:type="dxa"/>
              <w:start w:w="65" w:type="dxa"/>
              <w:bottom w:w="55" w:type="dxa"/>
              <w:end w:w="65" w:type="dxa"/>
            </w:tcMar>
            <w:tcBorders>
              <w:top w:val="single" w:sz="5" w:color="8EA6BF"/>
              <w:left w:val="single" w:sz="5" w:color="8EA6BF"/>
              <w:bottom w:val="single" w:sz="5" w:color="8EA6BF"/>
              <w:right w:val="single" w:sz="5" w:color="8EA6BF"/>
            </w:tcBorders>
          </w:tcPr>
          <w:p>
            <w:pPr>
              <w:spacing w:after="0" w:line="240" w:lineRule="auto"/>
            </w:pPr>
            <w:r>
              <w:rPr>
                <w:rFonts w:ascii="Arial" w:hAnsi="Arial" w:eastAsia="Arial"/>
                <w:color w:val="253444"/>
                <w:sz w:val="15"/>
              </w:rPr>
              <w:t>Brak wydania po przyjeździe</w:t>
            </w:r>
          </w:p>
        </w:tc>
        <w:tc>
          <w:tcPr>
            <w:tcW w:type="dxa" w:w="4025"/>
            <w:vAlign w:val="center"/>
            <w:tcMar>
              <w:top w:w="55" w:type="dxa"/>
              <w:start w:w="65" w:type="dxa"/>
              <w:bottom w:w="55" w:type="dxa"/>
              <w:end w:w="65" w:type="dxa"/>
            </w:tcMar>
            <w:tcBorders>
              <w:top w:val="single" w:sz="5" w:color="8EA6BF"/>
              <w:left w:val="single" w:sz="5" w:color="8EA6BF"/>
              <w:bottom w:val="single" w:sz="5" w:color="8EA6BF"/>
              <w:right w:val="single" w:sz="5" w:color="8EA6BF"/>
            </w:tcBorders>
          </w:tcPr>
          <w:p>
            <w:pPr>
              <w:spacing w:after="0" w:line="240" w:lineRule="auto"/>
            </w:pPr>
            <w:r>
              <w:rPr>
                <w:rFonts w:ascii="Arial" w:hAnsi="Arial" w:eastAsia="Arial"/>
                <w:color w:val="253444"/>
                <w:sz w:val="15"/>
              </w:rPr>
              <w:t>Brak osoby, zamknięty obiekt, przesyłka niegotowa albo niezgodna.</w:t>
            </w:r>
          </w:p>
        </w:tc>
        <w:tc>
          <w:tcPr>
            <w:tcW w:type="dxa" w:w="4025"/>
            <w:vAlign w:val="center"/>
            <w:tcMar>
              <w:top w:w="55" w:type="dxa"/>
              <w:start w:w="65" w:type="dxa"/>
              <w:bottom w:w="55" w:type="dxa"/>
              <w:end w:w="65" w:type="dxa"/>
            </w:tcMar>
            <w:tcBorders>
              <w:top w:val="single" w:sz="5" w:color="8EA6BF"/>
              <w:left w:val="single" w:sz="5" w:color="8EA6BF"/>
              <w:bottom w:val="single" w:sz="5" w:color="8EA6BF"/>
              <w:right w:val="single" w:sz="5" w:color="8EA6BF"/>
            </w:tcBorders>
          </w:tcPr>
          <w:p>
            <w:pPr>
              <w:spacing w:after="0" w:line="240" w:lineRule="auto"/>
            </w:pPr>
            <w:r>
              <w:rPr>
                <w:rFonts w:ascii="Arial" w:hAnsi="Arial" w:eastAsia="Arial"/>
                <w:color w:val="253444"/>
                <w:sz w:val="15"/>
              </w:rPr>
              <w:t>2,00 zł/km + 60 zł za rozpoczętą godzinę; limit: 100% ceny zlecenia.</w:t>
            </w:r>
          </w:p>
        </w:tc>
      </w:tr>
    </w:tbl>
    <w:p>
      <w:pPr>
        <w:spacing w:before="0" w:after="44" w:line="247" w:lineRule="auto"/>
        <w:keepLines/>
        <w:widowControl/>
      </w:pPr>
      <w:r>
        <w:rPr>
          <w:rFonts w:ascii="Arial" w:hAnsi="Arial" w:eastAsia="Arial"/>
          <w:i/>
          <w:color w:val="253444"/>
          <w:sz w:val="17"/>
        </w:rPr>
        <w:t>Kwoty są brutto. W przypadku rezygnacji po rozpoczęciu dojazdu albo braku możliwości wydania przesyłki z przyczyn leżących po stronie zleceniodawcy, nadawcy lub odbiorcy, rozliczane są uzasadnione koszty wykonanej części usługi według powyższych stawek, nie więcej niż wskazany limit. Nie nalicza się ich za opóźnienia lub przeszkody zawinione przez przewoźnika.</w:t>
      </w:r>
    </w:p>
    <w:p>
      <w:pPr>
        <w:spacing w:before="64" w:after="12" w:line="240" w:lineRule="auto"/>
        <w:keepNext/>
        <w:keepLines/>
      </w:pPr>
      <w:r>
        <w:rPr>
          <w:rFonts w:ascii="Arial" w:hAnsi="Arial" w:eastAsia="Arial"/>
          <w:b/>
          <w:color w:val="173B66"/>
          <w:sz w:val="19"/>
        </w:rPr>
        <w:t>3.2. Płatność</w:t>
      </w:r>
    </w:p>
    <w:p>
      <w:pPr>
        <w:spacing w:before="0" w:after="44" w:line="247" w:lineRule="auto"/>
        <w:keepLines/>
        <w:widowControl/>
      </w:pPr>
      <w:r>
        <w:rPr>
          <w:rFonts w:ascii="Arial" w:hAnsi="Arial" w:eastAsia="Arial"/>
          <w:i w:val="0"/>
          <w:color w:val="253444"/>
          <w:sz w:val="17"/>
        </w:rPr>
        <w:t>Zleceniodawca jest zobowiązany do zapłaty ceny oraz zaakceptowanych kosztów dodatkowych, chyba że przewoźnik wyraźnie zaakceptował innego płatnika. Samo wskazanie innego płatnika nie zwalnia zleceniodawcy do czasu zapłaty, chyba że przewoźnik potwierdzi inaczej. Termin i forma płatności wynikają z potwierdzenia zlecenia lub faktury. W razie opóźnienia mogą zostać naliczone odsetki właściwe dla danego stosunku prawnego.</w:t>
      </w:r>
    </w:p>
    <w:p>
      <w:pPr>
        <w:spacing w:before="64" w:after="12" w:line="240" w:lineRule="auto"/>
        <w:keepNext/>
        <w:keepLines/>
      </w:pPr>
      <w:r>
        <w:rPr>
          <w:rFonts w:ascii="Arial" w:hAnsi="Arial" w:eastAsia="Arial"/>
          <w:b/>
          <w:color w:val="173B66"/>
          <w:sz w:val="19"/>
        </w:rPr>
        <w:t>3.3. Czas oczekiwania</w:t>
      </w:r>
    </w:p>
    <w:p>
      <w:pPr>
        <w:spacing w:before="0" w:after="44" w:line="247" w:lineRule="auto"/>
        <w:keepLines/>
        <w:widowControl/>
      </w:pPr>
      <w:r>
        <w:rPr>
          <w:rFonts w:ascii="Arial" w:hAnsi="Arial" w:eastAsia="Arial"/>
          <w:i w:val="0"/>
          <w:color w:val="253444"/>
          <w:sz w:val="17"/>
        </w:rPr>
        <w:t>Czas liczy się od późniejszej z chwil: uzgodnionej godziny albo przyjazdu kierowcy i zgłoszenia gotowości osobie kontaktowej. Obejmuje brak gotowej przesyłki, oczekiwanie na osobę, dokumenty, awizację, dostęp do obiektu oraz przedłużający się załadunek lub rozładunek.</w:t>
      </w:r>
    </w:p>
    <w:p>
      <w:pPr>
        <w:spacing w:before="64" w:after="12" w:line="240" w:lineRule="auto"/>
        <w:keepNext/>
        <w:keepLines/>
      </w:pPr>
      <w:r>
        <w:rPr>
          <w:rFonts w:ascii="Arial" w:hAnsi="Arial" w:eastAsia="Arial"/>
          <w:b/>
          <w:color w:val="173B66"/>
          <w:sz w:val="19"/>
        </w:rPr>
        <w:t>3.4. Niezgodność przesyłki</w:t>
      </w:r>
    </w:p>
    <w:p>
      <w:pPr>
        <w:spacing w:before="0" w:after="44" w:line="247" w:lineRule="auto"/>
        <w:keepLines/>
        <w:widowControl/>
      </w:pPr>
      <w:r>
        <w:rPr>
          <w:rFonts w:ascii="Arial" w:hAnsi="Arial" w:eastAsia="Arial"/>
          <w:i w:val="0"/>
          <w:color w:val="253444"/>
          <w:sz w:val="17"/>
        </w:rPr>
        <w:t>Za istotną niezgodność uznaje się dodatkową sztukę, zmianę rodzaju rzeczy, przekroczenie któregokolwiek wymiaru o ponad 5 cm, masy lub łącznej objętości o ponad 10% albo każdą różnicę wpływającą na możliwość załadunku, zabezpieczenia lub bezpiecznego przewozu. Jeżeli realizacja pozostaje możliwa, przewoźnik przedstawia nową cenę do akceptacji przed załadunkiem. Bez akceptacji może odmówić wykonania zmienionego zlecenia.</w:t>
      </w:r>
    </w:p>
    <w:p>
      <w:pPr>
        <w:spacing w:before="64" w:after="12" w:line="240" w:lineRule="auto"/>
        <w:keepNext/>
        <w:keepLines/>
      </w:pPr>
      <w:r>
        <w:rPr>
          <w:rFonts w:ascii="Arial" w:hAnsi="Arial" w:eastAsia="Arial"/>
          <w:b/>
          <w:color w:val="173B66"/>
          <w:sz w:val="19"/>
        </w:rPr>
        <w:t>3.5. Prawo konsumenta do odstąpienia</w:t>
      </w:r>
    </w:p>
    <w:p>
      <w:pPr>
        <w:spacing w:before="0" w:after="44" w:line="247" w:lineRule="auto"/>
        <w:keepLines/>
        <w:widowControl/>
      </w:pPr>
      <w:r>
        <w:rPr>
          <w:rFonts w:ascii="Arial" w:hAnsi="Arial" w:eastAsia="Arial"/>
          <w:i w:val="0"/>
          <w:color w:val="253444"/>
          <w:sz w:val="17"/>
        </w:rPr>
        <w:t>Jeżeli w umowie zawartej na odległość lub poza lokalem przedsiębiorstwa oznaczono dzień albo okres świadczenia usługi przewozu rzeczy, konsumentowi nie przysługuje ustawowe prawo odstąpienia od umowy w terminie 14 dni (art. 38 pkt 12 ustawy o prawach konsumenta). Zasady rezygnacji określone w niniejszych warunkach pozostają uprawnieniem umownym.</w:t>
      </w:r>
    </w:p>
    <w:tbl>
      <w:tblPr>
        <w:tblW w:type="dxa" w:w="10376"/>
        <w:jc w:val="center"/>
        <w:tblLook w:firstColumn="1" w:firstRow="1" w:lastColumn="0" w:lastRow="0" w:noHBand="0" w:noVBand="1" w:val="04A0"/>
        <w:tblLayout w:type="fixed"/>
      </w:tblPr>
      <w:tblGrid>
        <w:gridCol w:w="10376"/>
      </w:tblGrid>
      <w:tr>
        <w:tc>
          <w:tcPr>
            <w:tcW w:type="dxa" w:w="10376"/>
            <w:shd w:fill="173B66"/>
            <w:tcMar>
              <w:top w:w="65" w:type="dxa"/>
              <w:start w:w="100" w:type="dxa"/>
              <w:bottom w:w="65" w:type="dxa"/>
              <w:end w:w="100" w:type="dxa"/>
            </w:tcMar>
            <w:tcBorders>
              <w:top w:val="single" w:sz="8" w:color="173B66"/>
              <w:left w:val="single" w:sz="8" w:color="173B66"/>
              <w:bottom w:val="single" w:sz="8" w:color="173B66"/>
              <w:right w:val="single" w:sz="8" w:color="173B66"/>
            </w:tcBorders>
          </w:tcPr>
          <w:p>
            <w:pPr>
              <w:spacing w:after="0"/>
              <w:keepNext/>
            </w:pPr>
            <w:r>
              <w:rPr>
                <w:rFonts w:ascii="Arial" w:hAnsi="Arial" w:eastAsia="Arial"/>
                <w:b/>
                <w:color w:val="FFFFFF"/>
                <w:sz w:val="20"/>
              </w:rPr>
              <w:t>4. OPAKOWANIE, ZAŁADUNEK I BEZPIECZEŃSTWO</w:t>
            </w:r>
          </w:p>
        </w:tc>
      </w:tr>
    </w:tbl>
    <w:p>
      <w:pPr>
        <w:spacing w:before="64" w:after="12" w:line="240" w:lineRule="auto"/>
        <w:keepNext/>
        <w:keepLines/>
      </w:pPr>
      <w:r>
        <w:rPr>
          <w:rFonts w:ascii="Arial" w:hAnsi="Arial" w:eastAsia="Arial"/>
          <w:b/>
          <w:color w:val="173B66"/>
          <w:sz w:val="19"/>
        </w:rPr>
        <w:t>4.1. Opakowanie i widoczny stan</w:t>
      </w:r>
    </w:p>
    <w:p>
      <w:pPr>
        <w:spacing w:before="0" w:after="44" w:line="247" w:lineRule="auto"/>
        <w:keepLines/>
        <w:widowControl/>
      </w:pPr>
      <w:r>
        <w:rPr>
          <w:rFonts w:ascii="Arial" w:hAnsi="Arial" w:eastAsia="Arial"/>
          <w:i w:val="0"/>
          <w:color w:val="253444"/>
          <w:sz w:val="17"/>
        </w:rPr>
        <w:t>Nadawca przygotowuje i pakuje przesyłkę odpowiednio do jej właściwości, chyba że pakowanie wyraźnie powierzono przewoźnikowi. Przewoźnik może odmówić przyjęcia rzeczy w stanie uniemożliwiającym bezpieczny przewóz, bez wymaganego opakowania albo z opakowaniem niedostatecznym, lub przyjąć ją po odnotowaniu zastrzeżeń i wykonaniu zdjęć. Ocena przewoźnika dotyczy wyłącznie stanu widocznego bez otwierania zamkniętych opakowań.</w:t>
      </w:r>
    </w:p>
    <w:p>
      <w:pPr>
        <w:spacing w:before="64" w:after="12" w:line="240" w:lineRule="auto"/>
        <w:keepNext/>
        <w:keepLines/>
      </w:pPr>
      <w:r>
        <w:rPr>
          <w:rFonts w:ascii="Arial" w:hAnsi="Arial" w:eastAsia="Arial"/>
          <w:b/>
          <w:color w:val="173B66"/>
          <w:sz w:val="19"/>
        </w:rPr>
        <w:t>4.2. Załadunek i rozładunek</w:t>
      </w:r>
    </w:p>
    <w:p>
      <w:pPr>
        <w:spacing w:before="0" w:after="44" w:line="247" w:lineRule="auto"/>
        <w:keepLines/>
        <w:widowControl/>
      </w:pPr>
      <w:r>
        <w:rPr>
          <w:rFonts w:ascii="Arial" w:hAnsi="Arial" w:eastAsia="Arial"/>
          <w:i w:val="0"/>
          <w:color w:val="253444"/>
          <w:sz w:val="17"/>
        </w:rPr>
        <w:t>Jeżeli potwierdzenie zlecenia nie stanowi inaczej, czynności ładunkowe wykonują odpowiednio nadawca i odbiorca. Pomoc kierowcy, wynoszenie, wniesienie, demontaż, montaż lub użycie specjalnego sprzętu wymagają wyraźnego uzgodnienia i powinny być potwierdzone również w liście przewozowym.</w:t>
      </w:r>
    </w:p>
    <w:p>
      <w:pPr>
        <w:spacing w:before="64" w:after="12" w:line="240" w:lineRule="auto"/>
        <w:keepNext/>
        <w:keepLines/>
      </w:pPr>
      <w:r>
        <w:rPr>
          <w:rFonts w:ascii="Arial" w:hAnsi="Arial" w:eastAsia="Arial"/>
          <w:b/>
          <w:color w:val="173B66"/>
          <w:sz w:val="19"/>
        </w:rPr>
        <w:t>4.3. Zabezpieczenie i odmowa przewozu</w:t>
      </w:r>
    </w:p>
    <w:p>
      <w:pPr>
        <w:spacing w:before="0" w:after="44" w:line="247" w:lineRule="auto"/>
        <w:keepLines/>
        <w:widowControl/>
      </w:pPr>
      <w:r>
        <w:rPr>
          <w:rFonts w:ascii="Arial" w:hAnsi="Arial" w:eastAsia="Arial"/>
          <w:i w:val="0"/>
          <w:color w:val="253444"/>
          <w:sz w:val="17"/>
        </w:rPr>
        <w:t>Przewoźnik odpowiada za standardowe zabezpieczenie przesyłki w pojeździe, o ile ma możliwość jej prawidłowego rozmieszczenia. Może przerwać albo odmówić załadunku, gdy przewóz grozi przekroczeniem dopuszczalnej masy lub wymiarów, naruszeniem przepisów, szkodą albo zagrożeniem dla osób, pojazdu lub innych rzeczy.</w:t>
      </w:r>
    </w:p>
    <w:tbl>
      <w:tblPr>
        <w:tblW w:type="dxa" w:w="10376"/>
        <w:jc w:val="center"/>
        <w:tblLook w:firstColumn="1" w:firstRow="1" w:lastColumn="0" w:lastRow="0" w:noHBand="0" w:noVBand="1" w:val="04A0"/>
        <w:tblLayout w:type="fixed"/>
      </w:tblPr>
      <w:tblGrid>
        <w:gridCol w:w="10376"/>
      </w:tblGrid>
      <w:tr>
        <w:tc>
          <w:tcPr>
            <w:tcW w:type="dxa" w:w="10376"/>
            <w:shd w:fill="173B66"/>
            <w:tcMar>
              <w:top w:w="65" w:type="dxa"/>
              <w:start w:w="100" w:type="dxa"/>
              <w:bottom w:w="65" w:type="dxa"/>
              <w:end w:w="100" w:type="dxa"/>
            </w:tcMar>
            <w:tcBorders>
              <w:top w:val="single" w:sz="8" w:color="173B66"/>
              <w:left w:val="single" w:sz="8" w:color="173B66"/>
              <w:bottom w:val="single" w:sz="8" w:color="173B66"/>
              <w:right w:val="single" w:sz="8" w:color="173B66"/>
            </w:tcBorders>
          </w:tcPr>
          <w:p>
            <w:pPr>
              <w:spacing w:after="0"/>
              <w:keepNext/>
            </w:pPr>
            <w:r>
              <w:rPr>
                <w:rFonts w:ascii="Arial" w:hAnsi="Arial" w:eastAsia="Arial"/>
                <w:b/>
                <w:color w:val="FFFFFF"/>
                <w:sz w:val="20"/>
              </w:rPr>
              <w:t>5. REALIZACJA I WYDANIE PRZESYŁKI</w:t>
            </w:r>
          </w:p>
        </w:tc>
      </w:tr>
    </w:tbl>
    <w:p>
      <w:pPr>
        <w:spacing w:before="64" w:after="12" w:line="240" w:lineRule="auto"/>
        <w:keepNext/>
        <w:keepLines/>
      </w:pPr>
      <w:r>
        <w:rPr>
          <w:rFonts w:ascii="Arial" w:hAnsi="Arial" w:eastAsia="Arial"/>
          <w:b/>
          <w:color w:val="173B66"/>
          <w:sz w:val="19"/>
        </w:rPr>
        <w:t>5.1. Terminy</w:t>
      </w:r>
    </w:p>
    <w:p>
      <w:pPr>
        <w:spacing w:before="0" w:after="44" w:line="247" w:lineRule="auto"/>
        <w:keepLines/>
        <w:widowControl/>
      </w:pPr>
      <w:r>
        <w:rPr>
          <w:rFonts w:ascii="Arial" w:hAnsi="Arial" w:eastAsia="Arial"/>
          <w:i w:val="0"/>
          <w:color w:val="253444"/>
          <w:sz w:val="17"/>
        </w:rPr>
        <w:t>Godziny podane jako orientacyjne lub przedział czasowy nie są terminem gwarantowanym. Dokładny termin wiąże przewoźnika wyłącznie wtedy, gdy oznaczono go w potwierdzeniu jako gwarantowany, z uwzględnieniem zdarzeń i przeszkód niezawinionych przez przewoźnika przewidzianych w obowiązujących przepisach.</w:t>
      </w:r>
    </w:p>
    <w:p>
      <w:pPr>
        <w:spacing w:before="64" w:after="12" w:line="240" w:lineRule="auto"/>
        <w:keepNext/>
        <w:keepLines/>
      </w:pPr>
      <w:r>
        <w:rPr>
          <w:rFonts w:ascii="Arial" w:hAnsi="Arial" w:eastAsia="Arial"/>
          <w:b/>
          <w:color w:val="173B66"/>
          <w:sz w:val="19"/>
        </w:rPr>
        <w:t>5.2. Zmiana i przeszkoda</w:t>
      </w:r>
    </w:p>
    <w:p>
      <w:pPr>
        <w:spacing w:before="0" w:after="44" w:line="247" w:lineRule="auto"/>
        <w:keepLines/>
        <w:widowControl/>
      </w:pPr>
      <w:r>
        <w:rPr>
          <w:rFonts w:ascii="Arial" w:hAnsi="Arial" w:eastAsia="Arial"/>
          <w:i w:val="0"/>
          <w:color w:val="253444"/>
          <w:sz w:val="17"/>
        </w:rPr>
        <w:t>Zmiana adresu, dodatkowy punkt, powrót z przesyłką, ponowna dostawa lub inne rozszerzenie zakresu wymaga uzgodnienia. W razie przeszkody przewoźnik kontaktuje się ze zleceniodawcą w celu uzyskania wykonalnych wskazówek; uzasadnione koszty zmiany ponosi osoba, która jej zażądała, zgodnie z prawem i potwierdzonym uzgodnieniem.</w:t>
      </w:r>
    </w:p>
    <w:p>
      <w:pPr>
        <w:spacing w:before="64" w:after="12" w:line="240" w:lineRule="auto"/>
        <w:keepNext/>
        <w:keepLines/>
      </w:pPr>
      <w:r>
        <w:rPr>
          <w:rFonts w:ascii="Arial" w:hAnsi="Arial" w:eastAsia="Arial"/>
          <w:b/>
          <w:color w:val="173B66"/>
          <w:sz w:val="19"/>
        </w:rPr>
        <w:t>5.3. Wydanie bez podpisu</w:t>
      </w:r>
    </w:p>
    <w:p>
      <w:pPr>
        <w:spacing w:before="0" w:after="44" w:line="247" w:lineRule="auto"/>
        <w:keepLines/>
        <w:widowControl/>
      </w:pPr>
      <w:r>
        <w:rPr>
          <w:rFonts w:ascii="Arial" w:hAnsi="Arial" w:eastAsia="Arial"/>
          <w:i w:val="0"/>
          <w:color w:val="253444"/>
          <w:sz w:val="17"/>
        </w:rPr>
        <w:t>Pozostawienie przesyłki bez podpisu odbiorcy jest dopuszczalne wyłącznie na wyraźne polecenie zleceniodawcy utrwalone na trwałym nośniku. Przewoźnik może udokumentować miejsce, datę i godzinę wydania zdjęciem lub potwierdzeniem elektronicznym.</w:t>
      </w:r>
    </w:p>
    <w:tbl>
      <w:tblPr>
        <w:tblW w:type="dxa" w:w="10376"/>
        <w:jc w:val="center"/>
        <w:tblLook w:firstColumn="1" w:firstRow="1" w:lastColumn="0" w:lastRow="0" w:noHBand="0" w:noVBand="1" w:val="04A0"/>
        <w:tblLayout w:type="fixed"/>
      </w:tblPr>
      <w:tblGrid>
        <w:gridCol w:w="10376"/>
      </w:tblGrid>
      <w:tr>
        <w:tc>
          <w:tcPr>
            <w:tcW w:type="dxa" w:w="10376"/>
            <w:shd w:fill="173B66"/>
            <w:tcMar>
              <w:top w:w="65" w:type="dxa"/>
              <w:start w:w="100" w:type="dxa"/>
              <w:bottom w:w="65" w:type="dxa"/>
              <w:end w:w="100" w:type="dxa"/>
            </w:tcMar>
            <w:tcBorders>
              <w:top w:val="single" w:sz="8" w:color="173B66"/>
              <w:left w:val="single" w:sz="8" w:color="173B66"/>
              <w:bottom w:val="single" w:sz="8" w:color="173B66"/>
              <w:right w:val="single" w:sz="8" w:color="173B66"/>
            </w:tcBorders>
          </w:tcPr>
          <w:p>
            <w:pPr>
              <w:spacing w:after="0"/>
              <w:keepNext/>
            </w:pPr>
            <w:r>
              <w:rPr>
                <w:rFonts w:ascii="Arial" w:hAnsi="Arial" w:eastAsia="Arial"/>
                <w:b/>
                <w:color w:val="FFFFFF"/>
                <w:sz w:val="20"/>
              </w:rPr>
              <w:t>6. RZECZY WYŁĄCZONE I WYMAGAJĄCE ZGODY</w:t>
            </w:r>
          </w:p>
        </w:tc>
      </w:tr>
    </w:tbl>
    <w:p>
      <w:pPr>
        <w:spacing w:before="64" w:after="12" w:line="240" w:lineRule="auto"/>
        <w:keepNext/>
        <w:keepLines/>
      </w:pPr>
      <w:r>
        <w:rPr>
          <w:rFonts w:ascii="Arial" w:hAnsi="Arial" w:eastAsia="Arial"/>
          <w:b/>
          <w:color w:val="173B66"/>
          <w:sz w:val="19"/>
        </w:rPr>
        <w:t>6.1. Rzeczy bezwzględnie wyłączone</w:t>
      </w:r>
    </w:p>
    <w:p>
      <w:pPr>
        <w:spacing w:before="0" w:after="44" w:line="247" w:lineRule="auto"/>
        <w:keepLines/>
        <w:widowControl/>
      </w:pPr>
      <w:r>
        <w:rPr>
          <w:rFonts w:ascii="Arial" w:hAnsi="Arial" w:eastAsia="Arial"/>
          <w:i w:val="0"/>
          <w:color w:val="253444"/>
          <w:sz w:val="17"/>
        </w:rPr>
        <w:t>Przewoźnik nie przyjmuje rzeczy, których posiadanie lub przewóz jest zabroniony, rzeczy pochodzących z przestępstwa, nielegalnych substancji odurzających, materiałów wybuchowych ani zwłok lub szczątków ludzkich. Przewoźnik może również odmówić rzeczy przekraczających możliwości pojazdu lub wymagających zezwoleń, wyposażenia albo procedur, których nie posiada.</w:t>
      </w:r>
    </w:p>
    <w:p>
      <w:pPr>
        <w:spacing w:before="64" w:after="12" w:line="240" w:lineRule="auto"/>
        <w:keepNext/>
        <w:keepLines/>
      </w:pPr>
      <w:r>
        <w:rPr>
          <w:rFonts w:ascii="Arial" w:hAnsi="Arial" w:eastAsia="Arial"/>
          <w:b/>
          <w:color w:val="173B66"/>
          <w:sz w:val="19"/>
        </w:rPr>
        <w:t>6.2. Rzeczy przyjmowane wyłącznie po uprzedniej pisemnej zgodzie</w:t>
      </w:r>
    </w:p>
    <w:p>
      <w:pPr>
        <w:spacing w:before="0" w:after="44" w:line="247" w:lineRule="auto"/>
        <w:keepLines/>
        <w:widowControl/>
      </w:pPr>
      <w:r>
        <w:rPr>
          <w:rFonts w:ascii="Arial" w:hAnsi="Arial" w:eastAsia="Arial"/>
          <w:i w:val="0"/>
          <w:color w:val="253444"/>
          <w:sz w:val="17"/>
        </w:rPr>
        <w:t>Uprzedniego ujawnienia i odrębnego potwierdzenia warunków wymagają w szczególności: towary niebezpieczne dopuszczone do przewozu na zasadach ADR, legalnie posiadana broń i amunicja, gotówka i papiery wartościowe, dzieła sztuki, antyki, biżuteria, szkło wielkoformatowe, dokumenty o szczególnej wartości, leki, tytoń, alkohol, towary wymagające kontrolowanej temperatury oraz inne towary podwyższonego ryzyka. Żywe zwierzęta podlegają odrębnym warunkom i nie są objęte niniejszym dokumentem.</w:t>
      </w:r>
    </w:p>
    <w:p>
      <w:r>
        <w:br w:type="page"/>
      </w:r>
    </w:p>
    <w:tbl>
      <w:tblPr>
        <w:tblW w:type="dxa" w:w="10376"/>
        <w:jc w:val="center"/>
        <w:tblLook w:firstColumn="1" w:firstRow="1" w:lastColumn="0" w:lastRow="0" w:noHBand="0" w:noVBand="1" w:val="04A0"/>
        <w:tblLayout w:type="fixed"/>
      </w:tblPr>
      <w:tblGrid>
        <w:gridCol w:w="10376"/>
      </w:tblGrid>
      <w:tr>
        <w:tc>
          <w:tcPr>
            <w:tcW w:type="dxa" w:w="10376"/>
            <w:shd w:fill="173B66"/>
            <w:tcMar>
              <w:top w:w="65" w:type="dxa"/>
              <w:start w:w="100" w:type="dxa"/>
              <w:bottom w:w="65" w:type="dxa"/>
              <w:end w:w="100" w:type="dxa"/>
            </w:tcMar>
            <w:tcBorders>
              <w:top w:val="single" w:sz="8" w:color="173B66"/>
              <w:left w:val="single" w:sz="8" w:color="173B66"/>
              <w:bottom w:val="single" w:sz="8" w:color="173B66"/>
              <w:right w:val="single" w:sz="8" w:color="173B66"/>
            </w:tcBorders>
          </w:tcPr>
          <w:p>
            <w:pPr>
              <w:spacing w:after="0"/>
              <w:keepNext/>
            </w:pPr>
            <w:r>
              <w:rPr>
                <w:rFonts w:ascii="Arial" w:hAnsi="Arial" w:eastAsia="Arial"/>
                <w:b/>
                <w:color w:val="FFFFFF"/>
                <w:sz w:val="20"/>
              </w:rPr>
              <w:t>7. ODPOWIEDZIALNOŚĆ I UBEZPIECZENIE</w:t>
            </w:r>
          </w:p>
        </w:tc>
      </w:tr>
    </w:tbl>
    <w:p>
      <w:pPr>
        <w:spacing w:before="64" w:after="12" w:line="240" w:lineRule="auto"/>
        <w:keepNext/>
        <w:keepLines/>
      </w:pPr>
      <w:r>
        <w:rPr>
          <w:rFonts w:ascii="Arial" w:hAnsi="Arial" w:eastAsia="Arial"/>
          <w:b/>
          <w:color w:val="173B66"/>
          <w:sz w:val="19"/>
        </w:rPr>
        <w:t>7.1. Odpowiedzialność przewoźnika</w:t>
      </w:r>
    </w:p>
    <w:p>
      <w:pPr>
        <w:spacing w:before="0" w:after="44" w:line="247" w:lineRule="auto"/>
        <w:keepLines/>
        <w:widowControl/>
      </w:pPr>
      <w:r>
        <w:rPr>
          <w:rFonts w:ascii="Arial" w:hAnsi="Arial" w:eastAsia="Arial"/>
          <w:i w:val="0"/>
          <w:color w:val="253444"/>
          <w:sz w:val="17"/>
        </w:rPr>
        <w:t>Odpowiedzialność za utratę, ubytek, uszkodzenie lub opóźnienie określa ustawa - Prawo przewozowe oraz inne bezwzględnie obowiązujące przepisy. Niniejsze warunki nie wyłączają ani nie ograniczają odpowiedzialności w zakresie, w którym prawo na to nie pozwala.</w:t>
      </w:r>
    </w:p>
    <w:p>
      <w:pPr>
        <w:spacing w:before="64" w:after="12" w:line="240" w:lineRule="auto"/>
        <w:keepNext/>
        <w:keepLines/>
      </w:pPr>
      <w:r>
        <w:rPr>
          <w:rFonts w:ascii="Arial" w:hAnsi="Arial" w:eastAsia="Arial"/>
          <w:b/>
          <w:color w:val="173B66"/>
          <w:sz w:val="19"/>
        </w:rPr>
        <w:t>7.2. Przyczyny po stronie przesyłki, nadawcy lub odbiorcy</w:t>
      </w:r>
    </w:p>
    <w:p>
      <w:pPr>
        <w:spacing w:before="0" w:after="44" w:line="247" w:lineRule="auto"/>
        <w:keepLines/>
        <w:widowControl/>
      </w:pPr>
      <w:r>
        <w:rPr>
          <w:rFonts w:ascii="Arial" w:hAnsi="Arial" w:eastAsia="Arial"/>
          <w:i w:val="0"/>
          <w:color w:val="253444"/>
          <w:sz w:val="17"/>
        </w:rPr>
        <w:t>W zakresie przewidzianym prawem przewoźnik nie odpowiada za szkodę wynikającą z niewłaściwego opakowania, naturalnych właściwości rzeczy, nieprawdziwych danych albo załadunku, rozmieszczenia lub rozładunku wykonywanego przez nadawcę lub odbiorcę. Każdy przypadek ocenia się na podstawie jego rzeczywistych okoliczności i dostępnych dowodów.</w:t>
      </w:r>
    </w:p>
    <w:p>
      <w:pPr>
        <w:spacing w:before="64" w:after="12" w:line="240" w:lineRule="auto"/>
        <w:keepNext/>
        <w:keepLines/>
      </w:pPr>
      <w:r>
        <w:rPr>
          <w:rFonts w:ascii="Arial" w:hAnsi="Arial" w:eastAsia="Arial"/>
          <w:b/>
          <w:color w:val="173B66"/>
          <w:sz w:val="19"/>
        </w:rPr>
        <w:t>7.3. OCP i wartość przesyłki</w:t>
      </w:r>
    </w:p>
    <w:p>
      <w:pPr>
        <w:spacing w:before="0" w:after="44" w:line="247" w:lineRule="auto"/>
        <w:keepLines/>
        <w:widowControl/>
      </w:pPr>
      <w:r>
        <w:rPr>
          <w:rFonts w:ascii="Arial" w:hAnsi="Arial" w:eastAsia="Arial"/>
          <w:i w:val="0"/>
          <w:color w:val="253444"/>
          <w:sz w:val="17"/>
        </w:rPr>
        <w:t>Ubezpieczenie OCP chroni odpowiedzialność cywilną przewoźnika wyłącznie na zasadach, w granicach i z wyłączeniami wynikającymi z aktualnej polisy. Nie jest ubezpieczeniem cargo samej przesyłki ani gwarancją wypłaty odszkodowania w każdym przypadku. Podanie wartości przesyłki nie rozszerza automatycznie odpowiedzialności ani ochrony ubezpieczeniowej, chyba że strony wyraźnie uzgodnią inaczej.</w:t>
      </w:r>
    </w:p>
    <w:tbl>
      <w:tblPr>
        <w:tblW w:type="dxa" w:w="10376"/>
        <w:jc w:val="center"/>
        <w:tblLook w:firstColumn="1" w:firstRow="1" w:lastColumn="0" w:lastRow="0" w:noHBand="0" w:noVBand="1" w:val="04A0"/>
        <w:tblLayout w:type="fixed"/>
      </w:tblPr>
      <w:tblGrid>
        <w:gridCol w:w="10376"/>
      </w:tblGrid>
      <w:tr>
        <w:tc>
          <w:tcPr>
            <w:tcW w:type="dxa" w:w="10376"/>
            <w:shd w:fill="173B66"/>
            <w:tcMar>
              <w:top w:w="65" w:type="dxa"/>
              <w:start w:w="100" w:type="dxa"/>
              <w:bottom w:w="65" w:type="dxa"/>
              <w:end w:w="100" w:type="dxa"/>
            </w:tcMar>
            <w:tcBorders>
              <w:top w:val="single" w:sz="8" w:color="173B66"/>
              <w:left w:val="single" w:sz="8" w:color="173B66"/>
              <w:bottom w:val="single" w:sz="8" w:color="173B66"/>
              <w:right w:val="single" w:sz="8" w:color="173B66"/>
            </w:tcBorders>
          </w:tcPr>
          <w:p>
            <w:pPr>
              <w:spacing w:after="0"/>
              <w:keepNext/>
            </w:pPr>
            <w:r>
              <w:rPr>
                <w:rFonts w:ascii="Arial" w:hAnsi="Arial" w:eastAsia="Arial"/>
                <w:b/>
                <w:color w:val="FFFFFF"/>
                <w:sz w:val="20"/>
              </w:rPr>
              <w:t>8. SZKODA, REKLAMACJA I POSTANOWIENIA KOŃCOWE</w:t>
            </w:r>
          </w:p>
        </w:tc>
      </w:tr>
    </w:tbl>
    <w:p>
      <w:pPr>
        <w:spacing w:before="64" w:after="12" w:line="240" w:lineRule="auto"/>
        <w:keepNext/>
        <w:keepLines/>
      </w:pPr>
      <w:r>
        <w:rPr>
          <w:rFonts w:ascii="Arial" w:hAnsi="Arial" w:eastAsia="Arial"/>
          <w:b/>
          <w:color w:val="173B66"/>
          <w:sz w:val="19"/>
        </w:rPr>
        <w:t>8.1. Kontrola przy odbiorze</w:t>
      </w:r>
    </w:p>
    <w:p>
      <w:pPr>
        <w:spacing w:before="0" w:after="44" w:line="247" w:lineRule="auto"/>
        <w:keepLines/>
        <w:widowControl/>
      </w:pPr>
      <w:r>
        <w:rPr>
          <w:rFonts w:ascii="Arial" w:hAnsi="Arial" w:eastAsia="Arial"/>
          <w:i w:val="0"/>
          <w:color w:val="253444"/>
          <w:sz w:val="17"/>
        </w:rPr>
        <w:t>Odbiorca powinien sprawdzić widoczny stan przesyłki przed jej przyjęciem. Widoczny ubytek lub uszkodzenie należy odnotować w liście przewozowym i protokole. W przypadku szkody niewidocznej z zewnątrz należy niezwłocznie, nie później niż w ciągu 7 dni od odbioru, zażądać protokolarnego ustalenia stanu przesyłki.</w:t>
      </w:r>
    </w:p>
    <w:p>
      <w:pPr>
        <w:spacing w:before="64" w:after="12" w:line="240" w:lineRule="auto"/>
        <w:keepNext/>
        <w:keepLines/>
      </w:pPr>
      <w:r>
        <w:rPr>
          <w:rFonts w:ascii="Arial" w:hAnsi="Arial" w:eastAsia="Arial"/>
          <w:b/>
          <w:color w:val="173B66"/>
          <w:sz w:val="19"/>
        </w:rPr>
        <w:t>8.2. Reklamacja</w:t>
      </w:r>
    </w:p>
    <w:p>
      <w:pPr>
        <w:spacing w:before="0" w:after="44" w:line="247" w:lineRule="auto"/>
        <w:keepLines/>
        <w:widowControl/>
      </w:pPr>
      <w:r>
        <w:rPr>
          <w:rFonts w:ascii="Arial" w:hAnsi="Arial" w:eastAsia="Arial"/>
          <w:i w:val="0"/>
          <w:color w:val="253444"/>
          <w:sz w:val="17"/>
        </w:rPr>
        <w:t>Reklamację należy wysłać na adres alan.kopras@pm.me lub ul. Podlas 3/26, 41-712 Ruda Śląska, podając numer zlecenia, opis zdarzenia i żądanie oraz dołączając list przewozowy, zdjęcia, protokół szkody, dokument potwierdzający wartość rzeczy i inne dostępne dowody. Reklamacje są rozpatrywane zgodnie z Prawem przewozowym i przepisami wykonawczymi, w terminie wynikającym z obowiązujących przepisów.</w:t>
      </w:r>
    </w:p>
    <w:p>
      <w:pPr>
        <w:spacing w:before="64" w:after="12" w:line="240" w:lineRule="auto"/>
        <w:keepNext/>
        <w:keepLines/>
      </w:pPr>
      <w:r>
        <w:rPr>
          <w:rFonts w:ascii="Arial" w:hAnsi="Arial" w:eastAsia="Arial"/>
          <w:b/>
          <w:color w:val="173B66"/>
          <w:sz w:val="19"/>
        </w:rPr>
        <w:t>8.3. Prawo i spory</w:t>
      </w:r>
    </w:p>
    <w:p>
      <w:pPr>
        <w:spacing w:before="0" w:after="44" w:line="247" w:lineRule="auto"/>
        <w:keepLines/>
        <w:widowControl/>
      </w:pPr>
      <w:r>
        <w:rPr>
          <w:rFonts w:ascii="Arial" w:hAnsi="Arial" w:eastAsia="Arial"/>
          <w:i w:val="0"/>
          <w:color w:val="253444"/>
          <w:sz w:val="17"/>
        </w:rPr>
        <w:t>Do umowy stosuje się prawo polskie. Strony w pierwszej kolejności podejmą próbę polubownego rozwiązania sporu. Właściwość sądu wynika z obowiązujących przepisów; wobec konsumenta nie stosuje się postanowień ograniczających ustawową właściwość sądu.</w:t>
      </w:r>
    </w:p>
    <w:p>
      <w:pPr>
        <w:spacing w:before="64" w:after="12" w:line="240" w:lineRule="auto"/>
        <w:keepNext/>
        <w:keepLines/>
      </w:pPr>
      <w:r>
        <w:rPr>
          <w:rFonts w:ascii="Arial" w:hAnsi="Arial" w:eastAsia="Arial"/>
          <w:b/>
          <w:color w:val="173B66"/>
          <w:sz w:val="19"/>
        </w:rPr>
        <w:t>8.4. Ochrona konsumenta i zmiany warunków</w:t>
      </w:r>
    </w:p>
    <w:p>
      <w:pPr>
        <w:spacing w:before="0" w:after="44" w:line="247" w:lineRule="auto"/>
        <w:keepLines/>
        <w:widowControl/>
      </w:pPr>
      <w:r>
        <w:rPr>
          <w:rFonts w:ascii="Arial" w:hAnsi="Arial" w:eastAsia="Arial"/>
          <w:i w:val="0"/>
          <w:color w:val="253444"/>
          <w:sz w:val="17"/>
        </w:rPr>
        <w:t>Postanowienia mniej korzystne niż bezwzględnie obowiązujące prawa konsumenta nie mają zastosowania, a pozostała część warunków zachowuje moc. Zmiana niniejszych warunków działa wyłącznie na przyszłość i nie zmienia już zawartego zlecenia bez wyraźnego porozumienia stron.</w:t>
      </w:r>
    </w:p>
    <w:tbl>
      <w:tblPr>
        <w:tblW w:type="dxa" w:w="10376"/>
        <w:jc w:val="center"/>
        <w:tblLook w:firstColumn="1" w:firstRow="1" w:lastColumn="0" w:lastRow="0" w:noHBand="0" w:noVBand="1" w:val="04A0"/>
        <w:tblLayout w:type="fixed"/>
      </w:tblPr>
      <w:tblGrid>
        <w:gridCol w:w="10376"/>
      </w:tblGrid>
      <w:tr>
        <w:tc>
          <w:tcPr>
            <w:tcW w:type="dxa" w:w="10376"/>
            <w:shd w:fill="F5F8FB"/>
            <w:tcMar>
              <w:top w:w="70" w:type="dxa"/>
              <w:start w:w="90" w:type="dxa"/>
              <w:bottom w:w="70" w:type="dxa"/>
              <w:end w:w="90" w:type="dxa"/>
            </w:tcMar>
            <w:tcBorders>
              <w:top w:val="single" w:sz="5" w:color="8EA6BF"/>
              <w:left w:val="single" w:sz="5" w:color="8EA6BF"/>
              <w:bottom w:val="single" w:sz="5" w:color="8EA6BF"/>
              <w:right w:val="single" w:sz="5" w:color="8EA6BF"/>
            </w:tcBorders>
          </w:tcPr>
          <w:p>
            <w:pPr>
              <w:spacing w:after="0" w:line="240" w:lineRule="auto"/>
            </w:pPr>
            <w:r>
              <w:rPr>
                <w:rFonts w:ascii="Arial" w:hAnsi="Arial" w:eastAsia="Arial"/>
                <w:b/>
                <w:color w:val="173B66"/>
                <w:sz w:val="15"/>
              </w:rPr>
              <w:t>PODSTAWA PRAWNA</w:t>
              <w:br/>
            </w:r>
            <w:r>
              <w:rPr>
                <w:rFonts w:ascii="Arial" w:hAnsi="Arial" w:eastAsia="Arial"/>
                <w:color w:val="253444"/>
                <w:sz w:val="15"/>
              </w:rPr>
              <w:t>Ustawa z 15 listopada 1984 r. - Prawo przewozowe; ustawa z 23 kwietnia 1964 r. - Kodeks cywilny; ustawa z 30 maja 2014 r. o prawach konsumenta - w aktualnym brzmieniu. Dokument nie zastępuje indywidualnej oceny konkretnego zlecenia ani warunków polisy OCP.</w:t>
            </w:r>
          </w:p>
        </w:tc>
      </w:tr>
    </w:tbl>
    <w:p>
      <w:pPr>
        <w:spacing w:before="60" w:after="0"/>
        <w:jc w:val="right"/>
      </w:pPr>
      <w:r>
        <w:rPr>
          <w:rFonts w:ascii="Arial" w:hAnsi="Arial" w:eastAsia="Arial"/>
          <w:i/>
          <w:color w:val="626B73"/>
          <w:sz w:val="14"/>
        </w:rPr>
        <w:t>Dokument wdrożony przez: Alan Kopras  |  plik: Ogolne_warunki_krajowego_transportu_rzeczy_v1.1</w:t>
      </w:r>
    </w:p>
    <w:sectPr w:rsidR="00FC693F" w:rsidRPr="0006063C" w:rsidSect="00034616">
      <w:headerReference w:type="default" r:id="rId9"/>
      <w:footerReference w:type="default" r:id="rId10"/>
      <w:pgSz w:w="11906" w:h="16838"/>
      <w:pgMar w:top="652" w:right="765" w:bottom="624" w:left="765" w:header="255" w:footer="28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after="0"/>
      <w:jc w:val="center"/>
    </w:pPr>
    <w:r>
      <w:rPr>
        <w:rFonts w:ascii="Arial" w:hAnsi="Arial" w:eastAsia="Arial"/>
        <w:color w:val="626B73"/>
        <w:sz w:val="14"/>
      </w:rPr>
      <w:t>Wersja 1.1  |  obowiązuje od 29/07/2026  |  krajowy transport rzeczy</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Bdr>
        <w:bottom w:val="single" w:sz="5" w:space="1" w:color="8EA6BF"/>
      </w:pBdr>
    </w:pPr>
    <w:r>
      <w:rPr>
        <w:rFonts w:ascii="Arial" w:hAnsi="Arial" w:eastAsia="Arial"/>
        <w:b/>
        <w:color w:val="173B66"/>
        <w:sz w:val="14"/>
      </w:rPr>
      <w:t>OGÓLNE WARUNKI TRANSPORTU</w:t>
    </w:r>
    <w:r>
      <w:rPr>
        <w:rFonts w:ascii="Arial" w:hAnsi="Arial" w:eastAsia="Arial"/>
        <w:b/>
        <w:color w:val="626B73"/>
        <w:sz w:val="14"/>
      </w:rPr>
      <w:t xml:space="preserve">                                                                 ASAP SOLUTIONS | ALAN KOPRAS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8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view w:val="prin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pPr>
    <w:rPr>
      <w:rFonts w:ascii="Arial" w:hAnsi="Arial" w:eastAsia="Arial"/>
      <w:sz w:val="17"/>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Ogólne warunki realizacji krajowego transportu rzeczy</dc:title>
  <dc:subject>ASAP Solutions - krajowy transport rzeczy</dc:subject>
  <dc:creator>Alan Kopras</dc:creator>
  <cp:keywords>transport, przewóz rzeczy, warunki realizacji, ASAP Solutions</cp:keywords>
  <dc:description>Wersja finalna 1.1</dc:description>
  <cp:lastModifiedBy/>
  <cp:revision>1</cp:revision>
  <dcterms:created xsi:type="dcterms:W3CDTF">2013-12-23T23:15:00Z</dcterms:created>
  <dcterms:modified xsi:type="dcterms:W3CDTF">2013-12-23T23:15:00Z</dcterms:modified>
  <cp:category/>
</cp:coreProperties>
</file>